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37" w:rsidRPr="005C7F50" w:rsidRDefault="003A2537" w:rsidP="003A2537">
      <w:pPr>
        <w:pStyle w:val="Obsah1"/>
      </w:pPr>
      <w:r w:rsidRPr="005C7F50">
        <w:t>Obsah:</w:t>
      </w:r>
    </w:p>
    <w:p w:rsidR="00450574" w:rsidRDefault="003A253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68020A">
        <w:rPr>
          <w:color w:val="FF0000"/>
          <w:highlight w:val="yellow"/>
        </w:rPr>
        <w:fldChar w:fldCharType="begin"/>
      </w:r>
      <w:r w:rsidRPr="0068020A">
        <w:rPr>
          <w:color w:val="FF0000"/>
          <w:highlight w:val="yellow"/>
        </w:rPr>
        <w:instrText xml:space="preserve"> TOC \o "1-3" \h \z \u </w:instrText>
      </w:r>
      <w:r w:rsidRPr="0068020A">
        <w:rPr>
          <w:color w:val="FF0000"/>
          <w:highlight w:val="yellow"/>
        </w:rPr>
        <w:fldChar w:fldCharType="separate"/>
      </w:r>
      <w:hyperlink w:anchor="_Toc94621522" w:history="1">
        <w:r w:rsidR="00450574" w:rsidRPr="00546D55">
          <w:rPr>
            <w:rStyle w:val="Hypertextovodkaz"/>
            <w:noProof/>
          </w:rPr>
          <w:t>1</w:t>
        </w:r>
        <w:r w:rsidR="0045057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50574" w:rsidRPr="00546D55">
          <w:rPr>
            <w:rStyle w:val="Hypertextovodkaz"/>
            <w:noProof/>
          </w:rPr>
          <w:t>Identifikační údaje</w:t>
        </w:r>
        <w:r w:rsidR="00450574">
          <w:rPr>
            <w:noProof/>
            <w:webHidden/>
          </w:rPr>
          <w:tab/>
        </w:r>
        <w:r w:rsidR="00450574">
          <w:rPr>
            <w:noProof/>
            <w:webHidden/>
          </w:rPr>
          <w:fldChar w:fldCharType="begin"/>
        </w:r>
        <w:r w:rsidR="00450574">
          <w:rPr>
            <w:noProof/>
            <w:webHidden/>
          </w:rPr>
          <w:instrText xml:space="preserve"> PAGEREF _Toc94621522 \h </w:instrText>
        </w:r>
        <w:r w:rsidR="00450574">
          <w:rPr>
            <w:noProof/>
            <w:webHidden/>
          </w:rPr>
        </w:r>
        <w:r w:rsidR="00450574"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2</w:t>
        </w:r>
        <w:r w:rsidR="00450574"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23" w:history="1">
        <w:r w:rsidRPr="00546D5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Základní 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24" w:history="1">
        <w:r w:rsidRPr="00546D5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Důvod změny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25" w:history="1">
        <w:r w:rsidRPr="00546D5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Související předpisy, normy,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26" w:history="1">
        <w:r w:rsidRPr="00546D5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Souřadnicový a výškový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27" w:history="1">
        <w:r w:rsidRPr="00546D5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Staničení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28" w:history="1">
        <w:r w:rsidRPr="00546D5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Inženýrské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29" w:history="1">
        <w:r w:rsidRPr="00546D55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Užitečné délky kolejí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30" w:history="1">
        <w:r w:rsidRPr="00546D55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Geometrické parametry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94621531" w:history="1">
        <w:r w:rsidRPr="00546D55">
          <w:rPr>
            <w:rStyle w:val="Hypertextovodkaz"/>
            <w:noProof/>
          </w:rPr>
          <w:t>9.1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Návrhová rychlost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94621532" w:history="1">
        <w:r w:rsidRPr="00546D55">
          <w:rPr>
            <w:rStyle w:val="Hypertextovodkaz"/>
            <w:noProof/>
          </w:rPr>
          <w:t>9.2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Směrové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94621533" w:history="1">
        <w:r w:rsidRPr="00546D55">
          <w:rPr>
            <w:rStyle w:val="Hypertextovodkaz"/>
            <w:noProof/>
          </w:rPr>
          <w:t>9.3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Sklonové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94621534" w:history="1">
        <w:r w:rsidRPr="00546D55">
          <w:rPr>
            <w:rStyle w:val="Hypertextovodkaz"/>
            <w:noProof/>
          </w:rPr>
          <w:t>9.4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Výhybky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94621535" w:history="1">
        <w:r w:rsidRPr="00546D55">
          <w:rPr>
            <w:rStyle w:val="Hypertextovodkaz"/>
            <w:rFonts w:cs="Times New Roman"/>
            <w:noProof/>
          </w:rPr>
          <w:t>9.5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rFonts w:cs="Times New Roman"/>
            <w:noProof/>
          </w:rPr>
          <w:t>Osové vzdálenosti kolejí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36" w:history="1">
        <w:r w:rsidRPr="00546D55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Konstrukční uspořádání železničního svršku a zřízení bezstykové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37" w:history="1">
        <w:r w:rsidRPr="00546D55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Zajištění prostorové polohy koleje a železniční bodové pole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38" w:history="1">
        <w:r w:rsidRPr="00546D55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Výstroj trati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39" w:history="1">
        <w:r w:rsidRPr="00546D55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Dotčené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94621540" w:history="1">
        <w:r w:rsidRPr="00546D55">
          <w:rPr>
            <w:rStyle w:val="Hypertextovodkaz"/>
            <w:noProof/>
          </w:rPr>
          <w:t>13.1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Světelná návěstidla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50574" w:rsidRDefault="004505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4621541" w:history="1">
        <w:r w:rsidRPr="00546D55">
          <w:rPr>
            <w:rStyle w:val="Hypertextovodkaz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546D55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_Toc94621541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2A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92856" w:rsidRPr="0068020A" w:rsidRDefault="003A2537">
      <w:pPr>
        <w:spacing w:line="276" w:lineRule="auto"/>
        <w:ind w:firstLine="0"/>
        <w:jc w:val="left"/>
        <w:rPr>
          <w:rFonts w:cs="Times New Roman"/>
          <w:szCs w:val="24"/>
          <w:highlight w:val="yellow"/>
        </w:rPr>
      </w:pPr>
      <w:r w:rsidRPr="0068020A">
        <w:rPr>
          <w:rFonts w:cs="Times New Roman"/>
          <w:color w:val="FF0000"/>
          <w:szCs w:val="24"/>
          <w:highlight w:val="yellow"/>
        </w:rPr>
        <w:fldChar w:fldCharType="end"/>
      </w:r>
    </w:p>
    <w:p w:rsidR="003A2537" w:rsidRPr="0068020A" w:rsidRDefault="003A2537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  <w:highlight w:val="yellow"/>
        </w:rPr>
      </w:pPr>
      <w:r w:rsidRPr="0068020A">
        <w:rPr>
          <w:highlight w:val="yellow"/>
        </w:rPr>
        <w:br w:type="page"/>
      </w:r>
    </w:p>
    <w:p w:rsidR="00E908F0" w:rsidRPr="0068020A" w:rsidRDefault="0011389D" w:rsidP="00E908F0">
      <w:pPr>
        <w:pStyle w:val="Nadpis1"/>
      </w:pPr>
      <w:bookmarkStart w:id="0" w:name="_Toc94621522"/>
      <w:r w:rsidRPr="0068020A">
        <w:lastRenderedPageBreak/>
        <w:t>Identifikační údaje</w:t>
      </w:r>
      <w:bookmarkEnd w:id="0"/>
    </w:p>
    <w:p w:rsidR="0011389D" w:rsidRPr="0068020A" w:rsidRDefault="00953309" w:rsidP="00F91958">
      <w:pPr>
        <w:spacing w:after="0"/>
        <w:ind w:left="2829" w:hanging="2829"/>
      </w:pPr>
      <w:r w:rsidRPr="0068020A">
        <w:rPr>
          <w:b/>
        </w:rPr>
        <w:t>Název stavby:</w:t>
      </w:r>
      <w:r w:rsidR="00F30A5F" w:rsidRPr="0068020A">
        <w:tab/>
      </w:r>
      <w:r w:rsidR="0001340E" w:rsidRPr="0068020A">
        <w:t xml:space="preserve">Oprava </w:t>
      </w:r>
      <w:r w:rsidR="0068020A" w:rsidRPr="0068020A">
        <w:t>výhybek – žst. Přerov přednádraží</w:t>
      </w:r>
    </w:p>
    <w:p w:rsidR="00171EDD" w:rsidRPr="0068020A" w:rsidRDefault="00171EDD" w:rsidP="00171EDD">
      <w:pPr>
        <w:spacing w:after="0"/>
        <w:ind w:left="2829" w:hanging="2829"/>
      </w:pPr>
    </w:p>
    <w:p w:rsidR="00953309" w:rsidRPr="0068020A" w:rsidRDefault="00953309" w:rsidP="00953309">
      <w:pPr>
        <w:ind w:firstLine="0"/>
      </w:pPr>
      <w:r w:rsidRPr="0068020A">
        <w:rPr>
          <w:b/>
        </w:rPr>
        <w:t>Stupeň dokumentace:</w:t>
      </w:r>
      <w:r w:rsidRPr="0068020A">
        <w:tab/>
      </w:r>
      <w:r w:rsidR="008228C4" w:rsidRPr="0068020A">
        <w:t>Zjednodušený projekt</w:t>
      </w:r>
    </w:p>
    <w:p w:rsidR="00F30A5F" w:rsidRPr="0068020A" w:rsidRDefault="00953309" w:rsidP="00F30A5F">
      <w:pPr>
        <w:ind w:firstLine="0"/>
      </w:pPr>
      <w:r w:rsidRPr="0068020A">
        <w:rPr>
          <w:b/>
        </w:rPr>
        <w:t>Místo stavby:</w:t>
      </w:r>
      <w:r w:rsidRPr="0068020A">
        <w:rPr>
          <w:b/>
        </w:rPr>
        <w:tab/>
      </w:r>
      <w:r w:rsidRPr="0068020A">
        <w:rPr>
          <w:b/>
        </w:rPr>
        <w:tab/>
      </w:r>
      <w:r w:rsidRPr="0068020A">
        <w:rPr>
          <w:b/>
        </w:rPr>
        <w:tab/>
      </w:r>
      <w:r w:rsidR="00171EDD" w:rsidRPr="0068020A">
        <w:t xml:space="preserve">žst. </w:t>
      </w:r>
      <w:r w:rsidR="0068020A" w:rsidRPr="0068020A">
        <w:t>Přerov</w:t>
      </w:r>
    </w:p>
    <w:p w:rsidR="008564A9" w:rsidRPr="0068020A" w:rsidRDefault="00027E53" w:rsidP="00953309">
      <w:pPr>
        <w:ind w:firstLine="0"/>
      </w:pPr>
      <w:r w:rsidRPr="0068020A">
        <w:rPr>
          <w:b/>
        </w:rPr>
        <w:t>TUDU:</w:t>
      </w:r>
      <w:r w:rsidRPr="0068020A">
        <w:rPr>
          <w:b/>
        </w:rPr>
        <w:tab/>
      </w:r>
      <w:r w:rsidRPr="0068020A">
        <w:rPr>
          <w:b/>
        </w:rPr>
        <w:tab/>
      </w:r>
      <w:r w:rsidRPr="0068020A">
        <w:rPr>
          <w:b/>
        </w:rPr>
        <w:tab/>
      </w:r>
      <w:r w:rsidR="00404166" w:rsidRPr="0068020A">
        <w:t xml:space="preserve">1891 </w:t>
      </w:r>
      <w:r w:rsidR="0068020A" w:rsidRPr="0068020A">
        <w:t>A1, 1891 AN, 1891 AO</w:t>
      </w:r>
    </w:p>
    <w:p w:rsidR="0060064A" w:rsidRPr="0068020A" w:rsidRDefault="0060064A" w:rsidP="00953309">
      <w:pPr>
        <w:ind w:firstLine="0"/>
      </w:pPr>
      <w:r w:rsidRPr="0068020A">
        <w:rPr>
          <w:b/>
        </w:rPr>
        <w:t>Kraj:</w:t>
      </w:r>
      <w:r w:rsidRPr="0068020A">
        <w:tab/>
      </w:r>
      <w:r w:rsidRPr="0068020A">
        <w:tab/>
      </w:r>
      <w:r w:rsidRPr="0068020A">
        <w:tab/>
      </w:r>
      <w:r w:rsidRPr="0068020A">
        <w:tab/>
      </w:r>
      <w:r w:rsidR="00404166" w:rsidRPr="0068020A">
        <w:t>Olomoucký</w:t>
      </w:r>
    </w:p>
    <w:p w:rsidR="0060064A" w:rsidRPr="0068020A" w:rsidRDefault="0060064A" w:rsidP="00953309">
      <w:pPr>
        <w:ind w:firstLine="0"/>
      </w:pPr>
      <w:r w:rsidRPr="0068020A">
        <w:rPr>
          <w:b/>
        </w:rPr>
        <w:t>Katastrální území:</w:t>
      </w:r>
      <w:r w:rsidRPr="0068020A">
        <w:tab/>
      </w:r>
      <w:r w:rsidRPr="0068020A">
        <w:tab/>
      </w:r>
      <w:r w:rsidR="0068020A" w:rsidRPr="0068020A">
        <w:t>Lověšice u Přero</w:t>
      </w:r>
      <w:bookmarkStart w:id="1" w:name="_GoBack"/>
      <w:bookmarkEnd w:id="1"/>
      <w:r w:rsidR="0068020A" w:rsidRPr="0068020A">
        <w:t>va, Přerov</w:t>
      </w:r>
    </w:p>
    <w:p w:rsidR="0068020A" w:rsidRPr="00D540F3" w:rsidRDefault="0068020A" w:rsidP="0068020A">
      <w:pPr>
        <w:spacing w:after="0"/>
        <w:ind w:firstLine="0"/>
      </w:pPr>
      <w:r w:rsidRPr="00D540F3">
        <w:rPr>
          <w:b/>
        </w:rPr>
        <w:t>Investor:</w:t>
      </w:r>
      <w:r w:rsidRPr="00D540F3">
        <w:tab/>
      </w:r>
      <w:r w:rsidRPr="00D540F3">
        <w:tab/>
      </w:r>
      <w:r w:rsidRPr="00D540F3">
        <w:tab/>
        <w:t>Správa železnic, státní organizace</w:t>
      </w:r>
    </w:p>
    <w:p w:rsidR="0068020A" w:rsidRPr="00D540F3" w:rsidRDefault="0068020A" w:rsidP="0068020A">
      <w:pPr>
        <w:spacing w:after="0"/>
        <w:ind w:left="2124" w:firstLine="708"/>
      </w:pPr>
      <w:r w:rsidRPr="00D540F3">
        <w:t>Dlážděná 1003/7</w:t>
      </w:r>
    </w:p>
    <w:p w:rsidR="0068020A" w:rsidRPr="00D540F3" w:rsidRDefault="0068020A" w:rsidP="0068020A">
      <w:pPr>
        <w:ind w:left="2124" w:firstLine="708"/>
      </w:pPr>
      <w:r w:rsidRPr="00D540F3">
        <w:t>Praha 1 - Nové Město</w:t>
      </w:r>
    </w:p>
    <w:p w:rsidR="0068020A" w:rsidRPr="00D540F3" w:rsidRDefault="0068020A" w:rsidP="0068020A">
      <w:pPr>
        <w:spacing w:after="0"/>
        <w:ind w:firstLine="0"/>
      </w:pPr>
      <w:r w:rsidRPr="00D540F3">
        <w:rPr>
          <w:b/>
        </w:rPr>
        <w:t>Budoucí provozovatel:</w:t>
      </w:r>
      <w:r w:rsidRPr="00D540F3">
        <w:tab/>
        <w:t>Správa železnic, státní organizace</w:t>
      </w:r>
    </w:p>
    <w:p w:rsidR="0068020A" w:rsidRPr="00D540F3" w:rsidRDefault="0068020A" w:rsidP="0068020A">
      <w:pPr>
        <w:spacing w:after="0"/>
        <w:ind w:firstLine="0"/>
      </w:pPr>
      <w:r w:rsidRPr="00D540F3">
        <w:tab/>
      </w:r>
      <w:r w:rsidRPr="00D540F3">
        <w:tab/>
      </w:r>
      <w:r w:rsidRPr="00D540F3">
        <w:tab/>
      </w:r>
      <w:r w:rsidRPr="00D540F3">
        <w:tab/>
        <w:t>Oblastní ředitelství Olomouc</w:t>
      </w:r>
    </w:p>
    <w:p w:rsidR="0068020A" w:rsidRPr="00D540F3" w:rsidRDefault="0068020A" w:rsidP="0068020A">
      <w:pPr>
        <w:spacing w:after="0"/>
        <w:ind w:firstLine="0"/>
      </w:pPr>
      <w:r w:rsidRPr="00D540F3">
        <w:tab/>
      </w:r>
      <w:r w:rsidRPr="00D540F3">
        <w:tab/>
      </w:r>
      <w:r w:rsidRPr="00D540F3">
        <w:tab/>
      </w:r>
      <w:r w:rsidRPr="00D540F3">
        <w:tab/>
        <w:t>Správa tratí Olomouc</w:t>
      </w:r>
    </w:p>
    <w:p w:rsidR="0068020A" w:rsidRPr="00D540F3" w:rsidRDefault="0068020A" w:rsidP="0068020A">
      <w:pPr>
        <w:spacing w:after="0"/>
        <w:ind w:firstLine="0"/>
      </w:pPr>
      <w:r w:rsidRPr="00D540F3">
        <w:tab/>
      </w:r>
      <w:r w:rsidRPr="00D540F3">
        <w:tab/>
      </w:r>
      <w:r w:rsidRPr="00D540F3">
        <w:tab/>
      </w:r>
      <w:r w:rsidRPr="00D540F3">
        <w:tab/>
        <w:t>Nerudova 773/1</w:t>
      </w:r>
    </w:p>
    <w:p w:rsidR="0068020A" w:rsidRPr="00D540F3" w:rsidRDefault="0068020A" w:rsidP="0068020A">
      <w:pPr>
        <w:ind w:left="2124" w:firstLine="708"/>
      </w:pPr>
      <w:r w:rsidRPr="00D540F3">
        <w:t>779 00 Olomouc</w:t>
      </w:r>
    </w:p>
    <w:p w:rsidR="00E908F0" w:rsidRPr="00837819" w:rsidRDefault="0011389D" w:rsidP="00404166">
      <w:pPr>
        <w:pStyle w:val="Nadpis1"/>
      </w:pPr>
      <w:bookmarkStart w:id="2" w:name="_Toc94621523"/>
      <w:r w:rsidRPr="00837819">
        <w:t>Základní údaje o stavbě</w:t>
      </w:r>
      <w:bookmarkEnd w:id="2"/>
    </w:p>
    <w:p w:rsidR="00BB507A" w:rsidRPr="00837819" w:rsidRDefault="00BD555D" w:rsidP="00634AA4">
      <w:r w:rsidRPr="00837819">
        <w:t>Předkládaná dokumentace řeší</w:t>
      </w:r>
      <w:r w:rsidR="002C0C1D" w:rsidRPr="00837819">
        <w:t xml:space="preserve"> geometrické parametry koleje</w:t>
      </w:r>
      <w:r w:rsidR="00634AA4" w:rsidRPr="00837819">
        <w:t xml:space="preserve"> </w:t>
      </w:r>
      <w:r w:rsidRPr="00837819">
        <w:t>pro stavbu „</w:t>
      </w:r>
      <w:r w:rsidR="00837819" w:rsidRPr="00837819">
        <w:t>Oprava výhybek – žst. Přerov přednádraží</w:t>
      </w:r>
      <w:r w:rsidRPr="00837819">
        <w:t>“.</w:t>
      </w:r>
      <w:r w:rsidR="00837819" w:rsidRPr="00837819">
        <w:t xml:space="preserve"> Rozsah výměny kolejového svršku a podbití určí Správa tratí Olomouc.</w:t>
      </w:r>
    </w:p>
    <w:p w:rsidR="00634AA4" w:rsidRPr="00837819" w:rsidRDefault="00634AA4" w:rsidP="00634AA4">
      <w:r w:rsidRPr="00837819">
        <w:t>Předkládaná dokumentace neřeší:</w:t>
      </w:r>
    </w:p>
    <w:p w:rsidR="002C0C1D" w:rsidRPr="00837819" w:rsidRDefault="002C0C1D" w:rsidP="00404166">
      <w:pPr>
        <w:pStyle w:val="Odstavecseseznamem"/>
        <w:numPr>
          <w:ilvl w:val="0"/>
          <w:numId w:val="27"/>
        </w:numPr>
        <w:ind w:left="1134"/>
      </w:pPr>
      <w:r w:rsidRPr="00837819">
        <w:t>konstrukční uspořádání železničního svršku</w:t>
      </w:r>
    </w:p>
    <w:p w:rsidR="002C0C1D" w:rsidRPr="00837819" w:rsidRDefault="002C0C1D" w:rsidP="006063DE">
      <w:pPr>
        <w:pStyle w:val="Odstavecseseznamem"/>
        <w:numPr>
          <w:ilvl w:val="0"/>
          <w:numId w:val="27"/>
        </w:numPr>
        <w:ind w:left="1134"/>
      </w:pPr>
      <w:r w:rsidRPr="00837819">
        <w:t>zřízení bezstykové koleje</w:t>
      </w:r>
    </w:p>
    <w:p w:rsidR="00634AA4" w:rsidRPr="00837819" w:rsidRDefault="00634AA4" w:rsidP="006063DE">
      <w:pPr>
        <w:pStyle w:val="Odstavecseseznamem"/>
        <w:numPr>
          <w:ilvl w:val="0"/>
          <w:numId w:val="27"/>
        </w:numPr>
        <w:ind w:left="1134"/>
      </w:pPr>
      <w:r w:rsidRPr="00837819">
        <w:t>konstrukční uspořádání železničního</w:t>
      </w:r>
      <w:r w:rsidR="001A771D" w:rsidRPr="00837819">
        <w:t xml:space="preserve"> spodku</w:t>
      </w:r>
    </w:p>
    <w:p w:rsidR="00BD555D" w:rsidRPr="00837819" w:rsidRDefault="00BD555D" w:rsidP="006063DE">
      <w:pPr>
        <w:pStyle w:val="Odstavecseseznamem"/>
        <w:numPr>
          <w:ilvl w:val="0"/>
          <w:numId w:val="27"/>
        </w:numPr>
        <w:ind w:left="1134"/>
      </w:pPr>
      <w:r w:rsidRPr="00837819">
        <w:t>úpravy trakčního vedení</w:t>
      </w:r>
    </w:p>
    <w:p w:rsidR="00F73353" w:rsidRPr="00837819" w:rsidRDefault="00F73353" w:rsidP="006063DE">
      <w:pPr>
        <w:pStyle w:val="Odstavecseseznamem"/>
        <w:numPr>
          <w:ilvl w:val="0"/>
          <w:numId w:val="27"/>
        </w:numPr>
        <w:ind w:left="1134"/>
      </w:pPr>
      <w:r w:rsidRPr="00837819">
        <w:t>úpravy zabezpečovacího zařízení</w:t>
      </w:r>
    </w:p>
    <w:p w:rsidR="00634AA4" w:rsidRPr="00837819" w:rsidRDefault="00634AA4" w:rsidP="006063DE">
      <w:pPr>
        <w:pStyle w:val="Odstavecseseznamem"/>
        <w:numPr>
          <w:ilvl w:val="0"/>
          <w:numId w:val="27"/>
        </w:numPr>
        <w:ind w:left="1134"/>
      </w:pPr>
      <w:r w:rsidRPr="00837819">
        <w:t>izolaci kolejí – tj. izolované styky, propojky, lanová propojení…</w:t>
      </w:r>
    </w:p>
    <w:p w:rsidR="00634AA4" w:rsidRPr="00837819" w:rsidRDefault="00634AA4" w:rsidP="006063DE">
      <w:pPr>
        <w:pStyle w:val="Odstavecseseznamem"/>
        <w:numPr>
          <w:ilvl w:val="0"/>
          <w:numId w:val="27"/>
        </w:numPr>
        <w:ind w:left="1134"/>
      </w:pPr>
      <w:r w:rsidRPr="00837819">
        <w:t>výkaz výměr a rozpočet stavby</w:t>
      </w:r>
    </w:p>
    <w:p w:rsidR="00634AA4" w:rsidRPr="00837819" w:rsidRDefault="00634AA4" w:rsidP="006063DE">
      <w:pPr>
        <w:pStyle w:val="Odstavecseseznamem"/>
        <w:numPr>
          <w:ilvl w:val="0"/>
          <w:numId w:val="27"/>
        </w:numPr>
        <w:ind w:left="1134"/>
      </w:pPr>
      <w:r w:rsidRPr="00837819">
        <w:t>organizaci výstavby</w:t>
      </w:r>
    </w:p>
    <w:p w:rsidR="00634AA4" w:rsidRDefault="00634AA4" w:rsidP="00634AA4">
      <w:r w:rsidRPr="00837819">
        <w:t xml:space="preserve">Všechny výše uvedené skutečnosti, které dokumentace neřeší, jsou v kompetenci Správy tratí </w:t>
      </w:r>
      <w:r w:rsidR="002C0C1D" w:rsidRPr="00837819">
        <w:t>O</w:t>
      </w:r>
      <w:r w:rsidR="00404166" w:rsidRPr="00837819">
        <w:t>lomouc</w:t>
      </w:r>
      <w:r w:rsidR="00194C76" w:rsidRPr="00837819">
        <w:t xml:space="preserve"> </w:t>
      </w:r>
      <w:r w:rsidR="007D1F1D" w:rsidRPr="00837819">
        <w:t>v případné součinnosti s dalšími složkami Oblastního ředitelství O</w:t>
      </w:r>
      <w:r w:rsidR="00404166" w:rsidRPr="00837819">
        <w:t>lomouc</w:t>
      </w:r>
      <w:r w:rsidR="00694C36">
        <w:t>.</w:t>
      </w:r>
    </w:p>
    <w:p w:rsidR="00694C36" w:rsidRPr="00837819" w:rsidRDefault="00694C36" w:rsidP="00694C36">
      <w:pPr>
        <w:pStyle w:val="Nadpis1"/>
      </w:pPr>
      <w:bookmarkStart w:id="3" w:name="_Toc94621524"/>
      <w:r>
        <w:t>Důvod změny</w:t>
      </w:r>
      <w:bookmarkEnd w:id="3"/>
    </w:p>
    <w:p w:rsidR="00F73353" w:rsidRPr="00694C36" w:rsidRDefault="00694C36" w:rsidP="00694C36">
      <w:r>
        <w:t>Z důvodu požadavku Správy tratí Olomouc na zřízení bezstykové koleje v koleji č. 272X, bylo nutné změnit poloměr oblouku v</w:t>
      </w:r>
      <w:r w:rsidR="009372A0">
        <w:t> dané koleji</w:t>
      </w:r>
      <w:r>
        <w:t xml:space="preserve"> na hodnotu 170 m.</w:t>
      </w:r>
    </w:p>
    <w:p w:rsidR="00E908F0" w:rsidRPr="00812586" w:rsidRDefault="009F4D4F" w:rsidP="00327A59">
      <w:pPr>
        <w:pStyle w:val="Nadpis1"/>
      </w:pPr>
      <w:bookmarkStart w:id="4" w:name="_Toc94621525"/>
      <w:r w:rsidRPr="00812586">
        <w:lastRenderedPageBreak/>
        <w:t>Související předpisy, normy, p</w:t>
      </w:r>
      <w:r w:rsidR="0011389D" w:rsidRPr="00812586">
        <w:t>odklady</w:t>
      </w:r>
      <w:bookmarkEnd w:id="4"/>
    </w:p>
    <w:p w:rsidR="00E908F0" w:rsidRPr="00812586" w:rsidRDefault="007C0F61" w:rsidP="007C0F61">
      <w:pPr>
        <w:pStyle w:val="Podnadpis1"/>
      </w:pPr>
      <w:r w:rsidRPr="00812586">
        <w:t>Geodetické podklady</w:t>
      </w:r>
    </w:p>
    <w:p w:rsidR="00812586" w:rsidRPr="00812586" w:rsidRDefault="00812586" w:rsidP="00A6797B">
      <w:pPr>
        <w:pStyle w:val="Odstavecseseznamem"/>
        <w:numPr>
          <w:ilvl w:val="0"/>
          <w:numId w:val="3"/>
        </w:numPr>
        <w:ind w:left="567" w:hanging="567"/>
      </w:pPr>
      <w:r w:rsidRPr="00812586">
        <w:t>„Zaměření a výpočet 3D os staničních kolejí, TÚ1891 a TÚ2401. Žst. Přerov“ (Zeměměřičství Olšar, leden 2018)</w:t>
      </w:r>
    </w:p>
    <w:p w:rsidR="007C0F61" w:rsidRPr="00812586" w:rsidRDefault="007C0F61" w:rsidP="00A6797B">
      <w:pPr>
        <w:pStyle w:val="Odstavecseseznamem"/>
        <w:numPr>
          <w:ilvl w:val="0"/>
          <w:numId w:val="3"/>
        </w:numPr>
        <w:ind w:left="567" w:hanging="567"/>
      </w:pPr>
      <w:r w:rsidRPr="00812586">
        <w:t xml:space="preserve">zaměření os kolejí a </w:t>
      </w:r>
      <w:r w:rsidR="00736362" w:rsidRPr="00812586">
        <w:t>přilehlých objektů</w:t>
      </w:r>
      <w:r w:rsidRPr="00812586">
        <w:t xml:space="preserve"> (S</w:t>
      </w:r>
      <w:r w:rsidR="00812586" w:rsidRPr="00812586">
        <w:t>práva železniční geodézie, červenec 2020</w:t>
      </w:r>
      <w:r w:rsidRPr="00812586">
        <w:t>)</w:t>
      </w:r>
    </w:p>
    <w:p w:rsidR="007C0F61" w:rsidRPr="00812586" w:rsidRDefault="007C0F61" w:rsidP="007C0F61">
      <w:pPr>
        <w:pStyle w:val="Podnadpis1"/>
      </w:pPr>
      <w:r w:rsidRPr="00812586">
        <w:t>Normy</w:t>
      </w:r>
    </w:p>
    <w:p w:rsidR="007C0F61" w:rsidRPr="00812586" w:rsidRDefault="007C0F61" w:rsidP="007C0F61">
      <w:pPr>
        <w:pStyle w:val="Odstavecseseznamem"/>
        <w:numPr>
          <w:ilvl w:val="0"/>
          <w:numId w:val="3"/>
        </w:numPr>
        <w:ind w:left="567" w:hanging="567"/>
      </w:pPr>
      <w:r w:rsidRPr="00812586">
        <w:t>ČSN 73 6360-1 Konstrukční a geometrické uspořádání koleje</w:t>
      </w:r>
      <w:r w:rsidR="00E56124" w:rsidRPr="00812586">
        <w:t xml:space="preserve"> železničních drah a její prostorová poloha</w:t>
      </w:r>
      <w:r w:rsidR="009F4D4F" w:rsidRPr="00812586">
        <w:t>, Část 1: Projektování</w:t>
      </w:r>
    </w:p>
    <w:p w:rsidR="00E56124" w:rsidRPr="00812586" w:rsidRDefault="00E56124" w:rsidP="00E56124">
      <w:pPr>
        <w:pStyle w:val="Odstavecseseznamem"/>
        <w:numPr>
          <w:ilvl w:val="0"/>
          <w:numId w:val="3"/>
        </w:numPr>
        <w:ind w:left="567" w:hanging="567"/>
      </w:pPr>
      <w:r w:rsidRPr="00812586">
        <w:t>ČSN 73 6360-2 Konstrukční a geometrické uspořádání koleje železničních drah a její prostorová poloha, Část 2: Stavba a přejímka, provoz a údržba</w:t>
      </w:r>
    </w:p>
    <w:p w:rsidR="009F4D4F" w:rsidRPr="00812586" w:rsidRDefault="009F4D4F" w:rsidP="009F4D4F">
      <w:pPr>
        <w:pStyle w:val="Podnadpis1"/>
      </w:pPr>
      <w:r w:rsidRPr="00812586">
        <w:t>Předpisy SŽDC</w:t>
      </w:r>
    </w:p>
    <w:p w:rsidR="009F4D4F" w:rsidRPr="00812586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812586">
        <w:t>TKP staveb státních drah</w:t>
      </w:r>
    </w:p>
    <w:p w:rsidR="009F4D4F" w:rsidRPr="00812586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812586">
        <w:t>SŽDC S3 Železniční svršek</w:t>
      </w:r>
    </w:p>
    <w:p w:rsidR="009F4D4F" w:rsidRPr="00812586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812586">
        <w:t>SŽDC S3/2 Bezstyková kolej</w:t>
      </w:r>
    </w:p>
    <w:p w:rsidR="00C77916" w:rsidRPr="00812586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812586">
        <w:t xml:space="preserve">SŽDC S3/5 Předpis pro svařování a navařování součástí žel. </w:t>
      </w:r>
      <w:r w:rsidR="00BD555D" w:rsidRPr="00812586">
        <w:t>s</w:t>
      </w:r>
      <w:r w:rsidRPr="00812586">
        <w:t>vršku</w:t>
      </w:r>
    </w:p>
    <w:p w:rsidR="00736362" w:rsidRPr="00812586" w:rsidRDefault="00736362" w:rsidP="00736362">
      <w:pPr>
        <w:pStyle w:val="Podnadpis1"/>
      </w:pPr>
      <w:r w:rsidRPr="00812586">
        <w:t>Navazující projekty</w:t>
      </w:r>
    </w:p>
    <w:p w:rsidR="00BD555D" w:rsidRPr="00812586" w:rsidRDefault="00BD555D" w:rsidP="00BD555D">
      <w:pPr>
        <w:pStyle w:val="Odstavecseseznamem"/>
        <w:numPr>
          <w:ilvl w:val="0"/>
          <w:numId w:val="3"/>
        </w:numPr>
        <w:ind w:left="567" w:hanging="567"/>
      </w:pPr>
      <w:r w:rsidRPr="00812586">
        <w:t xml:space="preserve">Projekt </w:t>
      </w:r>
      <w:r w:rsidR="00812586" w:rsidRPr="00812586">
        <w:t>GPK staničních kolejí v žst. Přerov</w:t>
      </w:r>
      <w:r w:rsidRPr="00812586">
        <w:t xml:space="preserve"> (</w:t>
      </w:r>
      <w:r w:rsidR="00812586" w:rsidRPr="00812586">
        <w:t>Projekt servis spol. s r. o., únor 2019</w:t>
      </w:r>
      <w:r w:rsidRPr="00812586">
        <w:t>)</w:t>
      </w:r>
    </w:p>
    <w:p w:rsidR="00812586" w:rsidRPr="00812586" w:rsidRDefault="00812586" w:rsidP="00812586">
      <w:pPr>
        <w:pStyle w:val="Odstavecseseznamem"/>
        <w:numPr>
          <w:ilvl w:val="0"/>
          <w:numId w:val="3"/>
        </w:numPr>
        <w:ind w:left="567" w:hanging="567"/>
      </w:pPr>
      <w:r w:rsidRPr="00812586">
        <w:t>„Oprava koleje č. 106 v žst. Přerov“ (Geometra Kyjov, srpen 2019)</w:t>
      </w:r>
    </w:p>
    <w:p w:rsidR="00812586" w:rsidRPr="00812586" w:rsidRDefault="00812586" w:rsidP="00812586">
      <w:pPr>
        <w:ind w:firstLine="0"/>
        <w:rPr>
          <w:highlight w:val="yellow"/>
        </w:rPr>
      </w:pPr>
    </w:p>
    <w:p w:rsidR="00E908F0" w:rsidRPr="00812586" w:rsidRDefault="007E156D" w:rsidP="00E908F0">
      <w:pPr>
        <w:pStyle w:val="Nadpis1"/>
      </w:pPr>
      <w:bookmarkStart w:id="5" w:name="_Toc94621526"/>
      <w:r w:rsidRPr="00812586">
        <w:t>Souřadnicový a výšk</w:t>
      </w:r>
      <w:r w:rsidR="0011389D" w:rsidRPr="00812586">
        <w:t>ový systém</w:t>
      </w:r>
      <w:bookmarkEnd w:id="5"/>
    </w:p>
    <w:p w:rsidR="00C21989" w:rsidRPr="00812586" w:rsidRDefault="00C21989" w:rsidP="00C21989">
      <w:r w:rsidRPr="00812586">
        <w:t>Veškeré absolutní polohopisné a výškopisné údaje obsažené v projektové dokumentaci jsou uvedeny:</w:t>
      </w:r>
    </w:p>
    <w:p w:rsidR="00C21989" w:rsidRPr="00812586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812586">
        <w:t>v souřadnicovém systému S – JTSK</w:t>
      </w:r>
    </w:p>
    <w:p w:rsidR="00E908F0" w:rsidRPr="00812586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812586">
        <w:t>ve výškovém systému Bpv</w:t>
      </w:r>
    </w:p>
    <w:p w:rsidR="00706C52" w:rsidRPr="00812586" w:rsidRDefault="00706C52" w:rsidP="00706C52">
      <w:pPr>
        <w:pStyle w:val="Nadpis1"/>
        <w:ind w:left="431" w:hanging="431"/>
      </w:pPr>
      <w:bookmarkStart w:id="6" w:name="_Toc94621527"/>
      <w:r w:rsidRPr="00812586">
        <w:t>Staničení</w:t>
      </w:r>
      <w:bookmarkEnd w:id="6"/>
    </w:p>
    <w:p w:rsidR="00C46990" w:rsidRPr="00812586" w:rsidRDefault="00C46990" w:rsidP="00A82790">
      <w:r w:rsidRPr="00812586">
        <w:t>V</w:t>
      </w:r>
      <w:r w:rsidR="00D810F2" w:rsidRPr="00812586">
        <w:t xml:space="preserve">e všech </w:t>
      </w:r>
      <w:r w:rsidRPr="00812586">
        <w:t>kolejích je zavedeno stavební staničení s počátkem (km 0,000) v počátku kolejových úprav.</w:t>
      </w:r>
    </w:p>
    <w:p w:rsidR="00DE46AD" w:rsidRPr="00812586" w:rsidRDefault="00DE46AD" w:rsidP="00DE46AD">
      <w:pPr>
        <w:pStyle w:val="Nadpis1"/>
      </w:pPr>
      <w:bookmarkStart w:id="7" w:name="_Toc94621528"/>
      <w:r w:rsidRPr="00812586">
        <w:t>Inženýrské sítě</w:t>
      </w:r>
      <w:bookmarkEnd w:id="7"/>
    </w:p>
    <w:p w:rsidR="00C77916" w:rsidRPr="00812586" w:rsidRDefault="00276B50" w:rsidP="00DE46AD">
      <w:r w:rsidRPr="00812586">
        <w:t>Před začátkem stavby je zhotovitel povinen zjistit si přítomnost inženýrských sítí na staveništi a nechat si jejich průběh vytyčit příslušnými správci</w:t>
      </w:r>
      <w:r w:rsidRPr="00812586">
        <w:rPr>
          <w:color w:val="FF0000"/>
        </w:rPr>
        <w:t>.</w:t>
      </w:r>
    </w:p>
    <w:p w:rsidR="00736362" w:rsidRPr="00812586" w:rsidRDefault="00797ED5" w:rsidP="00E908F0">
      <w:pPr>
        <w:pStyle w:val="Nadpis1"/>
      </w:pPr>
      <w:bookmarkStart w:id="8" w:name="_Toc94621529"/>
      <w:r w:rsidRPr="00812586">
        <w:lastRenderedPageBreak/>
        <w:t>U</w:t>
      </w:r>
      <w:r w:rsidR="004B7DD8" w:rsidRPr="00812586">
        <w:t xml:space="preserve">žitečné délky </w:t>
      </w:r>
      <w:r w:rsidR="00AF0A15" w:rsidRPr="00812586">
        <w:t>kolejí</w:t>
      </w:r>
      <w:bookmarkEnd w:id="8"/>
    </w:p>
    <w:p w:rsidR="00765A63" w:rsidRPr="00812586" w:rsidRDefault="00C46990" w:rsidP="00765A63">
      <w:r w:rsidRPr="00812586">
        <w:t>Vzhledem k tomu, že nedojde posunu odjezdových návěstidel, užitečné délky dotčených kolejí se nemění.</w:t>
      </w:r>
    </w:p>
    <w:p w:rsidR="00E908F0" w:rsidRPr="00ED6CA6" w:rsidRDefault="00F02050" w:rsidP="00E908F0">
      <w:pPr>
        <w:pStyle w:val="Nadpis1"/>
      </w:pPr>
      <w:bookmarkStart w:id="9" w:name="_Toc94621530"/>
      <w:r w:rsidRPr="00ED6CA6">
        <w:t>Geometrické parametry koleje</w:t>
      </w:r>
      <w:bookmarkEnd w:id="9"/>
    </w:p>
    <w:p w:rsidR="00D164E7" w:rsidRPr="00812586" w:rsidRDefault="00D164E7" w:rsidP="00F02050">
      <w:pPr>
        <w:pStyle w:val="Nadpis2"/>
      </w:pPr>
      <w:bookmarkStart w:id="10" w:name="_Toc94621531"/>
      <w:r w:rsidRPr="00812586">
        <w:t>Návrhová rychlost</w:t>
      </w:r>
      <w:bookmarkEnd w:id="10"/>
    </w:p>
    <w:p w:rsidR="003B634F" w:rsidRPr="00812586" w:rsidRDefault="00C46990" w:rsidP="00001248">
      <w:r w:rsidRPr="00812586">
        <w:t>Návrhové rychlosti</w:t>
      </w:r>
      <w:r w:rsidR="00812586" w:rsidRPr="00812586">
        <w:t xml:space="preserve"> ve všech kolejích zůstávají stávající.</w:t>
      </w:r>
    </w:p>
    <w:p w:rsidR="00E908F0" w:rsidRPr="00F75D04" w:rsidRDefault="000A7B5B" w:rsidP="00F02050">
      <w:pPr>
        <w:pStyle w:val="Nadpis2"/>
      </w:pPr>
      <w:bookmarkStart w:id="11" w:name="_Toc94621532"/>
      <w:r w:rsidRPr="00F75D04">
        <w:t>Směrové poměry</w:t>
      </w:r>
      <w:bookmarkEnd w:id="11"/>
    </w:p>
    <w:p w:rsidR="00E07A62" w:rsidRPr="00F75D04" w:rsidRDefault="00D810F2" w:rsidP="00B35555">
      <w:r w:rsidRPr="00F75D04">
        <w:t xml:space="preserve">Směrové poměry jsou navrženy s důrazem na minimalizaci směrových posunů a </w:t>
      </w:r>
      <w:r w:rsidR="00E07A62" w:rsidRPr="00F75D04">
        <w:t>překážky v kolejišti (především trakční stožáry</w:t>
      </w:r>
      <w:r w:rsidR="00812586" w:rsidRPr="00F75D04">
        <w:t xml:space="preserve"> a</w:t>
      </w:r>
      <w:r w:rsidR="00E07A62" w:rsidRPr="00F75D04">
        <w:t xml:space="preserve"> </w:t>
      </w:r>
      <w:r w:rsidR="00812586" w:rsidRPr="00F75D04">
        <w:t>světelná návěstidla</w:t>
      </w:r>
      <w:r w:rsidR="00E07A62" w:rsidRPr="00F75D04">
        <w:t>).</w:t>
      </w:r>
    </w:p>
    <w:p w:rsidR="00B35555" w:rsidRPr="00F75D04" w:rsidRDefault="00E07A62" w:rsidP="00B35555">
      <w:r w:rsidRPr="00F75D04">
        <w:t>Začátky a konce kolejí jsou napojeny na stávající zaměřený stav, případně na projektovaný stav z navazujících projektů (výhybk</w:t>
      </w:r>
      <w:r w:rsidR="00812586" w:rsidRPr="00F75D04">
        <w:t>y</w:t>
      </w:r>
      <w:r w:rsidRPr="00F75D04">
        <w:t xml:space="preserve"> č. </w:t>
      </w:r>
      <w:r w:rsidR="00812586" w:rsidRPr="00F75D04">
        <w:t>110 a 111</w:t>
      </w:r>
      <w:r w:rsidRPr="00F75D04">
        <w:t>).</w:t>
      </w:r>
    </w:p>
    <w:p w:rsidR="00B213E9" w:rsidRPr="00F75D04" w:rsidRDefault="00B213E9" w:rsidP="00B35555">
      <w:r w:rsidRPr="00F75D04">
        <w:t xml:space="preserve">Podrobnosti ke směrovým poměrům viz přílohy č. 2 Situace a č. 4 Vytyčovací </w:t>
      </w:r>
      <w:r w:rsidR="00E07A62" w:rsidRPr="00F75D04">
        <w:t>schémata</w:t>
      </w:r>
      <w:r w:rsidRPr="00F75D04">
        <w:t>. Směrové posuny po délce kolejí viz příloha č. 3 Podélné profily.</w:t>
      </w:r>
    </w:p>
    <w:p w:rsidR="00E908F0" w:rsidRPr="00F75D04" w:rsidRDefault="000A7B5B" w:rsidP="00B35555">
      <w:pPr>
        <w:pStyle w:val="Nadpis2"/>
        <w:ind w:left="578" w:hanging="578"/>
      </w:pPr>
      <w:bookmarkStart w:id="12" w:name="_Toc94621533"/>
      <w:r w:rsidRPr="00F75D04">
        <w:t>Sklonové poměry</w:t>
      </w:r>
      <w:bookmarkEnd w:id="12"/>
    </w:p>
    <w:p w:rsidR="00B213E9" w:rsidRPr="00F75D04" w:rsidRDefault="00B213E9" w:rsidP="00635A2F">
      <w:r w:rsidRPr="00F75D04">
        <w:t xml:space="preserve">Sklonové poměry </w:t>
      </w:r>
      <w:r w:rsidR="00E07A62" w:rsidRPr="00F75D04">
        <w:t>jsou navrženy na požadavek Správy tratí Olomouc tak, aby bylo pokud možno dosaženo zdvihů 50 – 1</w:t>
      </w:r>
      <w:r w:rsidR="00F75D04" w:rsidRPr="00F75D04">
        <w:t>5</w:t>
      </w:r>
      <w:r w:rsidR="00E07A62" w:rsidRPr="00F75D04">
        <w:t>0 mm (snížení objemu zemních prací).</w:t>
      </w:r>
    </w:p>
    <w:p w:rsidR="00E07A62" w:rsidRPr="00F75D04" w:rsidRDefault="00E07A62" w:rsidP="00B213E9">
      <w:r w:rsidRPr="00F75D04">
        <w:t xml:space="preserve">Začátky a konce kolejí jsou napojeny na stávající zaměřený stav, případně na projektovaný stav z navazujících projektů </w:t>
      </w:r>
      <w:r w:rsidR="00F75D04" w:rsidRPr="00F75D04">
        <w:t>(výhybky č. 110 a 111).</w:t>
      </w:r>
    </w:p>
    <w:p w:rsidR="00441BD2" w:rsidRPr="00F75D04" w:rsidRDefault="00441BD2" w:rsidP="00635A2F">
      <w:r w:rsidRPr="00F75D04">
        <w:rPr>
          <w:rFonts w:cs="Times New Roman"/>
        </w:rPr>
        <w:t>Pro zakružení vertikálních oblouků v místě lomů sklonů bude použito parabolických oblouků druhého stupně se svislou osou dle ČSN 73 6360-1. Poloměry výškového zaoblení byly navrženy</w:t>
      </w:r>
      <w:r w:rsidR="00635A2F" w:rsidRPr="00F75D04">
        <w:rPr>
          <w:rFonts w:cs="Times New Roman"/>
        </w:rPr>
        <w:t xml:space="preserve"> </w:t>
      </w:r>
      <w:r w:rsidRPr="00F75D04">
        <w:rPr>
          <w:rFonts w:cs="Times New Roman"/>
        </w:rPr>
        <w:t xml:space="preserve">o hodnotě </w:t>
      </w:r>
      <w:r w:rsidR="00F75D04" w:rsidRPr="00F75D04">
        <w:rPr>
          <w:rFonts w:cs="Times New Roman"/>
        </w:rPr>
        <w:t>2</w:t>
      </w:r>
      <w:r w:rsidR="003B08C3" w:rsidRPr="00F75D04">
        <w:rPr>
          <w:rFonts w:cs="Times New Roman"/>
        </w:rPr>
        <w:t> 000</w:t>
      </w:r>
      <w:r w:rsidR="009448D2" w:rsidRPr="00F75D04">
        <w:rPr>
          <w:rFonts w:cs="Times New Roman"/>
        </w:rPr>
        <w:t xml:space="preserve"> m</w:t>
      </w:r>
      <w:r w:rsidR="00E07A62" w:rsidRPr="00F75D04">
        <w:rPr>
          <w:rFonts w:cs="Times New Roman"/>
        </w:rPr>
        <w:t xml:space="preserve">, ve stísněných poměrech </w:t>
      </w:r>
      <w:r w:rsidR="008C1335" w:rsidRPr="00F75D04">
        <w:rPr>
          <w:rFonts w:cs="Times New Roman"/>
        </w:rPr>
        <w:t xml:space="preserve">potom nižší (minimálně </w:t>
      </w:r>
      <w:r w:rsidR="00F75D04" w:rsidRPr="00F75D04">
        <w:rPr>
          <w:rFonts w:cs="Times New Roman"/>
        </w:rPr>
        <w:t>30</w:t>
      </w:r>
      <w:r w:rsidR="008C1335" w:rsidRPr="00F75D04">
        <w:rPr>
          <w:rFonts w:cs="Times New Roman"/>
        </w:rPr>
        <w:t>0 m)</w:t>
      </w:r>
      <w:r w:rsidR="00635A2F" w:rsidRPr="00F75D04">
        <w:rPr>
          <w:rFonts w:cs="Times New Roman"/>
        </w:rPr>
        <w:t>.</w:t>
      </w:r>
    </w:p>
    <w:p w:rsidR="00565C0F" w:rsidRPr="00F75D04" w:rsidRDefault="00C24944" w:rsidP="00441BD2">
      <w:r w:rsidRPr="00F75D04">
        <w:t>Podrobnosti ke sklonovým poměrům a v</w:t>
      </w:r>
      <w:r w:rsidR="00B10B76" w:rsidRPr="00F75D04">
        <w:t xml:space="preserve">ýškové posuny </w:t>
      </w:r>
      <w:r w:rsidRPr="00F75D04">
        <w:t>po</w:t>
      </w:r>
      <w:r w:rsidR="00B10B76" w:rsidRPr="00F75D04">
        <w:t> délce</w:t>
      </w:r>
      <w:r w:rsidRPr="00F75D04">
        <w:t xml:space="preserve"> koleje</w:t>
      </w:r>
      <w:r w:rsidR="00FC645A" w:rsidRPr="00F75D04">
        <w:t xml:space="preserve"> viz příloha </w:t>
      </w:r>
      <w:r w:rsidR="00EA2EA3" w:rsidRPr="00F75D04">
        <w:t>č.</w:t>
      </w:r>
      <w:r w:rsidRPr="00F75D04">
        <w:t> </w:t>
      </w:r>
      <w:r w:rsidR="00EA2EA3" w:rsidRPr="00F75D04">
        <w:t>3</w:t>
      </w:r>
      <w:r w:rsidR="00FC645A" w:rsidRPr="00F75D04">
        <w:t> </w:t>
      </w:r>
      <w:r w:rsidR="00C46372" w:rsidRPr="00F75D04">
        <w:t>Podélné profily</w:t>
      </w:r>
      <w:r w:rsidRPr="00F75D04">
        <w:t>.</w:t>
      </w:r>
    </w:p>
    <w:p w:rsidR="000D4B34" w:rsidRPr="00ED6CA6" w:rsidRDefault="000D4B34" w:rsidP="000D4B34">
      <w:pPr>
        <w:pStyle w:val="Nadpis2"/>
        <w:ind w:left="578" w:hanging="578"/>
      </w:pPr>
      <w:bookmarkStart w:id="13" w:name="_Toc94621534"/>
      <w:r w:rsidRPr="00ED6CA6">
        <w:t>Výhybky</w:t>
      </w:r>
      <w:bookmarkEnd w:id="13"/>
    </w:p>
    <w:p w:rsidR="000D4B34" w:rsidRPr="00E0244B" w:rsidRDefault="000D4B34" w:rsidP="000D4B34">
      <w:r w:rsidRPr="00E0244B">
        <w:t xml:space="preserve">V rámci stavby </w:t>
      </w:r>
      <w:r w:rsidR="00E0244B" w:rsidRPr="00E0244B">
        <w:t xml:space="preserve">je řešeno </w:t>
      </w:r>
      <w:r w:rsidR="006E5E5E">
        <w:t>51</w:t>
      </w:r>
      <w:r w:rsidR="00E0244B" w:rsidRPr="00E0244B">
        <w:t xml:space="preserve"> výhybek. Rozsah jejich výměny či směrové a výškové úpravy určí správa tratí Olomouc.</w:t>
      </w:r>
    </w:p>
    <w:p w:rsidR="000D4B34" w:rsidRPr="00E0244B" w:rsidRDefault="008C1335" w:rsidP="000D4B34">
      <w:r w:rsidRPr="00E0244B">
        <w:t>Měněné</w:t>
      </w:r>
      <w:r w:rsidR="000D4B34" w:rsidRPr="00E0244B">
        <w:t xml:space="preserve"> výhybky jsou navrženy na svršku S49</w:t>
      </w:r>
      <w:r w:rsidRPr="00E0244B">
        <w:t xml:space="preserve"> na dřevěn</w:t>
      </w:r>
      <w:r w:rsidR="000D4B34" w:rsidRPr="00E0244B">
        <w:t>ých pražcích.</w:t>
      </w:r>
    </w:p>
    <w:p w:rsidR="008C1335" w:rsidRPr="0068020A" w:rsidRDefault="008C1335">
      <w:pPr>
        <w:spacing w:line="276" w:lineRule="auto"/>
        <w:ind w:firstLine="0"/>
        <w:jc w:val="left"/>
        <w:rPr>
          <w:b/>
          <w:i/>
          <w:highlight w:val="yellow"/>
          <w:u w:val="single"/>
        </w:rPr>
      </w:pPr>
      <w:r w:rsidRPr="0068020A">
        <w:rPr>
          <w:highlight w:val="yellow"/>
        </w:rPr>
        <w:br w:type="page"/>
      </w:r>
    </w:p>
    <w:p w:rsidR="000D4B34" w:rsidRPr="00717946" w:rsidRDefault="000D4B34" w:rsidP="000D4B34">
      <w:pPr>
        <w:pStyle w:val="Podnadpis1"/>
        <w:ind w:firstLine="709"/>
      </w:pPr>
      <w:r w:rsidRPr="00717946">
        <w:lastRenderedPageBreak/>
        <w:t>Tabulka výhybek</w:t>
      </w:r>
    </w:p>
    <w:tbl>
      <w:tblPr>
        <w:tblStyle w:val="Mkatabulky"/>
        <w:tblW w:w="8774" w:type="dxa"/>
        <w:jc w:val="center"/>
        <w:tblLayout w:type="fixed"/>
        <w:tblLook w:val="04A0" w:firstRow="1" w:lastRow="0" w:firstColumn="1" w:lastColumn="0" w:noHBand="0" w:noVBand="1"/>
      </w:tblPr>
      <w:tblGrid>
        <w:gridCol w:w="845"/>
        <w:gridCol w:w="1417"/>
        <w:gridCol w:w="4367"/>
        <w:gridCol w:w="2145"/>
      </w:tblGrid>
      <w:tr w:rsidR="00C310C4" w:rsidRPr="0068020A" w:rsidTr="00F75D04">
        <w:trPr>
          <w:trHeight w:val="454"/>
          <w:jc w:val="center"/>
        </w:trPr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10C4" w:rsidRPr="00717946" w:rsidRDefault="00C310C4" w:rsidP="00B0411D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717946">
              <w:rPr>
                <w:rFonts w:cs="Times New Roman"/>
                <w:b/>
                <w:szCs w:val="24"/>
              </w:rPr>
              <w:t>č.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10C4" w:rsidRPr="00717946" w:rsidRDefault="00C310C4" w:rsidP="00B0411D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717946">
              <w:rPr>
                <w:rFonts w:cs="Times New Roman"/>
                <w:b/>
                <w:szCs w:val="24"/>
              </w:rPr>
              <w:t>km</w:t>
            </w:r>
          </w:p>
        </w:tc>
        <w:tc>
          <w:tcPr>
            <w:tcW w:w="43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10C4" w:rsidRPr="00717946" w:rsidRDefault="00C310C4" w:rsidP="00B0411D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717946">
              <w:rPr>
                <w:rFonts w:cs="Times New Roman"/>
                <w:b/>
                <w:szCs w:val="24"/>
              </w:rPr>
              <w:t>Popis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10C4" w:rsidRPr="00717946" w:rsidRDefault="00C310C4" w:rsidP="00B0411D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717946">
              <w:rPr>
                <w:rFonts w:cs="Times New Roman"/>
                <w:b/>
                <w:szCs w:val="24"/>
              </w:rPr>
              <w:t>Poznámka</w:t>
            </w:r>
          </w:p>
        </w:tc>
      </w:tr>
      <w:tr w:rsidR="00C310C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0C4" w:rsidRPr="00F75D04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0C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182,797 997</w:t>
            </w:r>
          </w:p>
        </w:tc>
        <w:tc>
          <w:tcPr>
            <w:tcW w:w="43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0C4" w:rsidRPr="0068020A" w:rsidRDefault="00717946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Obl-jS49-1:9-300(559,772/195,000),L,l,d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10C4" w:rsidRPr="0068020A" w:rsidRDefault="00C310C4" w:rsidP="00F56C6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F75D04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75D04">
              <w:rPr>
                <w:rFonts w:cs="Times New Roman"/>
                <w:sz w:val="22"/>
              </w:rPr>
              <w:t>110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181,572 797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>
              <w:rPr>
                <w:rFonts w:cs="Times New Roman"/>
                <w:sz w:val="22"/>
              </w:rPr>
              <w:t>JS49-1:9-300,L,l,</w:t>
            </w:r>
            <w:r w:rsidRPr="007D5E92">
              <w:rPr>
                <w:rFonts w:cs="Times New Roman"/>
                <w:sz w:val="22"/>
              </w:rPr>
              <w:t>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F75D04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75D04">
              <w:rPr>
                <w:rFonts w:cs="Times New Roman"/>
                <w:sz w:val="22"/>
              </w:rPr>
              <w:t>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181,508 782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7D5E92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>
              <w:rPr>
                <w:rFonts w:cs="Times New Roman"/>
                <w:sz w:val="22"/>
              </w:rPr>
              <w:t>JS49-1:9-300,L,l,</w:t>
            </w:r>
            <w:r w:rsidRPr="007D5E92">
              <w:rPr>
                <w:rFonts w:cs="Times New Roman"/>
                <w:sz w:val="22"/>
              </w:rPr>
              <w:t>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F75D04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75D04">
              <w:rPr>
                <w:rFonts w:cs="Times New Roman"/>
                <w:sz w:val="22"/>
              </w:rPr>
              <w:t>112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181,504 788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>
              <w:rPr>
                <w:rFonts w:cs="Times New Roman"/>
                <w:sz w:val="22"/>
              </w:rPr>
              <w:t>JS49-1:9-300,L,p,</w:t>
            </w:r>
            <w:r w:rsidRPr="007D5E92">
              <w:rPr>
                <w:rFonts w:cs="Times New Roman"/>
                <w:sz w:val="22"/>
              </w:rPr>
              <w:t>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F75D04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75D04">
              <w:rPr>
                <w:rFonts w:cs="Times New Roman"/>
                <w:sz w:val="22"/>
              </w:rPr>
              <w:t>201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182,752 852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Obl-jS49-1:9-300(520,692/190,000),P,l,d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F75D04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75D04">
              <w:rPr>
                <w:rFonts w:cs="Times New Roman"/>
                <w:sz w:val="22"/>
              </w:rPr>
              <w:t>202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182,701 098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Obl-oS49-1:9-190(2604,049/205,000),P,p,d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F75D04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75D04">
              <w:rPr>
                <w:rFonts w:cs="Times New Roman"/>
                <w:sz w:val="22"/>
              </w:rPr>
              <w:t>204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182,699 396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JS49-1:9-300,P,p,d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F75D04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F75D04">
              <w:rPr>
                <w:rFonts w:cs="Times New Roman"/>
                <w:sz w:val="22"/>
              </w:rPr>
              <w:t>205a/b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182,691 315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CS49-1:9-190,p,d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206a/b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182,647 499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CS49-1:9-190,p,d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182,635 876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Obl-oS49-1:9-190(914,215/240,000),L,p,d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182,635 876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Obl-oS49-1:7,5-190(571,674/285,000),L,p,d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182,629 985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JS49-1:9-300,P,l,d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182,598 971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JS49-1:7,5-190,L,l,d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182,605 396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Obl-oS49-1:7,5-190(504,000/305,475),P,l,d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182,595 777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Obl-oS49-1:9-190(488,000/311,513),P,l,d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182,584 992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Obl-jS49-1:9-300(450/180),L,l,d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182,584 992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Obl-jS49-1:9-300(1706,135/255,000),P,p,d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182,579 159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JS49-1:7,5-190,P,l,d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182,568 228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JS49-1:9-190,L,p,d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182,550 048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JS49-1:7,5-190,P,l,d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182,544 369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Obl-oS49-1:9-190(1440,000/218,969),P,p,d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182,541 289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9D2773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JS49-1:9-190,L,p,d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182,522 932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JS49-1:7,5-190,P,l,d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182,512 613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717946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JS49-1:7,5-190,L,p,d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182,496 984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JS49-1:9-300,L,l,d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182,464 251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JS49-1:9-190,L,p,d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C115D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C472F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C472FE">
              <w:rPr>
                <w:rFonts w:cs="Times New Roman"/>
                <w:sz w:val="22"/>
              </w:rPr>
              <w:t>182,435 071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17946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JS49-1:7,5-190,L,p,d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181,967 299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Obl-oS49-1:9-300(785,000/486,136),P,p,d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181,852 108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Obl-jS49-1:9-300(950,000/227,779),P,l,d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F75D0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181,819 558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Obl-jS49-1:9-300(1080,000/234,583),P,l,d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181,804 397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17946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17946">
              <w:rPr>
                <w:rFonts w:cs="Times New Roman"/>
                <w:sz w:val="22"/>
              </w:rPr>
              <w:t>Obl-jS49-1:9-300(762,071/215,000),P,p,d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181,778 821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Obl-jS49-1:9-300(559,772/195,000),P,p,d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181,765 566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JS49-1:9-190,P,l,d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6E5E5E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E5E" w:rsidRPr="007D5E92" w:rsidRDefault="006E5E5E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E5E" w:rsidRPr="007D5E92" w:rsidRDefault="006E5E5E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6E5E5E">
              <w:rPr>
                <w:rFonts w:cs="Times New Roman"/>
                <w:sz w:val="22"/>
              </w:rPr>
              <w:t>181,753 937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E5E" w:rsidRPr="007D5E92" w:rsidRDefault="006E5E5E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6E5E5E">
              <w:rPr>
                <w:rFonts w:cs="Times New Roman"/>
                <w:sz w:val="22"/>
              </w:rPr>
              <w:t>SS49-1:5,7-230,l,d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5E5E" w:rsidRPr="0068020A" w:rsidRDefault="006E5E5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279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181,763 677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Obl-oS49-1:9-300(864,225/460,000),P,p,d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lastRenderedPageBreak/>
              <w:t>280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181,757 215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JS49-1:9-300,P,l,d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181,753 461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Obl-jS49-1:9-300(602,761/200,000),P,p,d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181,740 146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JS49-1:9-190,P,l,d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6E5E5E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E5E" w:rsidRPr="007D5E92" w:rsidRDefault="006E5E5E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E5E" w:rsidRPr="007D5E92" w:rsidRDefault="006E5E5E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6E5E5E">
              <w:rPr>
                <w:rFonts w:cs="Times New Roman"/>
                <w:sz w:val="22"/>
              </w:rPr>
              <w:t>181,731 035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E5E" w:rsidRPr="007D5E92" w:rsidRDefault="006E5E5E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6E5E5E">
              <w:rPr>
                <w:rFonts w:cs="Times New Roman"/>
                <w:sz w:val="22"/>
              </w:rPr>
              <w:t>Obl-oS49-1:7,5-190(1260,000/223,887),L,l,d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5E5E" w:rsidRPr="0068020A" w:rsidRDefault="006E5E5E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181,727 776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Obl-jS49-1:9-300(602,761/200,000),P,p,d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181,724 518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JS49-1:9-300,P,p,d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181,724 348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JS49-1:9-300,P,l,d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7D5E92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181,714 727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JS49-1:9-190,P,l,d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7D5E92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181,691 480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JS49-1:9-300,P,l,d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7D5E92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181,685 546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Obl-oS49-1:7,5-190(519,628/300,000),P,p,d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7D5E92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181,683 356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Obl-oS49-1:9-300(744,710/503,000),P,p,d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7D5E92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181,618 137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Obl-oS49-1:7,5-190(519,628/300,000),P,p,d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7D5E92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181,620 848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Obl-oS49-1:7,5-190(1144,185/228,000),L,l,d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7D5E92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181,593 070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JS49-1:7,5-190,P,pd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7D5E92" w:rsidRDefault="007D5E92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181,593 070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JS49-1:9-300,L,l,d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F75D04" w:rsidRPr="0068020A" w:rsidTr="00F75D04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5D04" w:rsidRPr="007D5E92" w:rsidRDefault="00F75D04" w:rsidP="00B0411D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D5E92">
              <w:rPr>
                <w:rFonts w:cs="Times New Roman"/>
                <w:sz w:val="22"/>
              </w:rPr>
              <w:t>2</w:t>
            </w:r>
            <w:r w:rsidR="007D5E92" w:rsidRPr="007D5E92">
              <w:rPr>
                <w:rFonts w:cs="Times New Roman"/>
                <w:sz w:val="22"/>
              </w:rPr>
              <w:t>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7D5E92">
              <w:rPr>
                <w:rFonts w:cs="Times New Roman"/>
                <w:sz w:val="22"/>
              </w:rPr>
              <w:t>181,474 796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5D04" w:rsidRPr="0068020A" w:rsidRDefault="007D5E92" w:rsidP="007D5E92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>
              <w:rPr>
                <w:rFonts w:cs="Times New Roman"/>
                <w:sz w:val="22"/>
              </w:rPr>
              <w:t>JS49-1:9-300,L,p,</w:t>
            </w:r>
            <w:r w:rsidRPr="007D5E92">
              <w:rPr>
                <w:rFonts w:cs="Times New Roman"/>
                <w:sz w:val="22"/>
              </w:rPr>
              <w:t>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D04" w:rsidRPr="0068020A" w:rsidRDefault="00F75D04" w:rsidP="00B0411D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</w:tbl>
    <w:p w:rsidR="00717946" w:rsidRPr="00717946" w:rsidRDefault="00717946" w:rsidP="005D49C9">
      <w:pPr>
        <w:spacing w:before="240"/>
      </w:pPr>
      <w:r w:rsidRPr="00717946">
        <w:t>Rozsah úprav (výměnu, směrovou a výškovou úpravu výhybek určí Správa tratí Olomouc.</w:t>
      </w:r>
    </w:p>
    <w:p w:rsidR="00C45391" w:rsidRPr="00717946" w:rsidRDefault="005D49C9" w:rsidP="005D49C9">
      <w:pPr>
        <w:spacing w:before="240"/>
      </w:pPr>
      <w:r w:rsidRPr="00717946">
        <w:t>Vybavení výhybek (typ závěrů, žlabové pražce,</w:t>
      </w:r>
      <w:r w:rsidR="008C1335" w:rsidRPr="00717946">
        <w:t xml:space="preserve"> EOV…) a rozsah regenerace užitých výhybek určí Správa tratí Olomouc</w:t>
      </w:r>
      <w:r w:rsidRPr="00717946">
        <w:t>.</w:t>
      </w:r>
    </w:p>
    <w:p w:rsidR="00C45391" w:rsidRPr="0068020A" w:rsidRDefault="00C45391" w:rsidP="00C45391">
      <w:pPr>
        <w:rPr>
          <w:highlight w:val="yellow"/>
        </w:rPr>
      </w:pPr>
      <w:r w:rsidRPr="0068020A">
        <w:rPr>
          <w:highlight w:val="yellow"/>
        </w:rPr>
        <w:br w:type="page"/>
      </w:r>
    </w:p>
    <w:p w:rsidR="000707E3" w:rsidRPr="00DA46D8" w:rsidRDefault="000707E3" w:rsidP="000707E3">
      <w:pPr>
        <w:spacing w:before="240"/>
      </w:pPr>
      <w:r w:rsidRPr="00DA46D8">
        <w:lastRenderedPageBreak/>
        <w:t>Pro účely posouzení vztahu nové polohy výhybek, izolovanýc</w:t>
      </w:r>
      <w:r w:rsidR="006F3EE0" w:rsidRPr="00DA46D8">
        <w:t>h styků a světelných návěstidel</w:t>
      </w:r>
      <w:r w:rsidRPr="00DA46D8">
        <w:t xml:space="preserve"> je v následující tabulce uveden posun </w:t>
      </w:r>
      <w:r w:rsidR="006F3EE0" w:rsidRPr="00DA46D8">
        <w:t>začátku dotčených</w:t>
      </w:r>
      <w:r w:rsidRPr="00DA46D8">
        <w:t xml:space="preserve"> výhybek:</w:t>
      </w:r>
    </w:p>
    <w:tbl>
      <w:tblPr>
        <w:tblW w:w="87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2345"/>
        <w:gridCol w:w="2345"/>
        <w:gridCol w:w="3079"/>
      </w:tblGrid>
      <w:tr w:rsidR="00C45391" w:rsidRPr="0068020A" w:rsidTr="00E2009E">
        <w:trPr>
          <w:trHeight w:val="762"/>
          <w:jc w:val="center"/>
        </w:trPr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5391" w:rsidRPr="00DA46D8" w:rsidRDefault="00C45391" w:rsidP="000707E3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číslo výhybky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5391" w:rsidRPr="00DA46D8" w:rsidRDefault="00C45391" w:rsidP="00C45391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tvar výhybky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5391" w:rsidRPr="00DA46D8" w:rsidRDefault="00C45391" w:rsidP="000707E3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posun začátku výhybky (jazyka)</w:t>
            </w:r>
          </w:p>
        </w:tc>
        <w:tc>
          <w:tcPr>
            <w:tcW w:w="30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5391" w:rsidRPr="00DA46D8" w:rsidRDefault="00C45391" w:rsidP="000707E3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směr posunu</w:t>
            </w:r>
          </w:p>
        </w:tc>
      </w:tr>
      <w:tr w:rsidR="00E27361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201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7361" w:rsidRPr="00817623" w:rsidRDefault="00E27361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0,036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E27361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202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7361" w:rsidRPr="00817623" w:rsidRDefault="00E27361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E273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0,014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E27361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204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7361" w:rsidRPr="00817623" w:rsidRDefault="00E27361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E273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0,060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27361" w:rsidRPr="00817623" w:rsidRDefault="00E27361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5B3861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B3861" w:rsidRPr="00817623" w:rsidRDefault="005B3861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206a/b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3861" w:rsidRPr="00817623" w:rsidRDefault="005B3861" w:rsidP="0081762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1:9-</w:t>
            </w:r>
            <w:r w:rsidR="00817623"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B3861" w:rsidRPr="00817623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0,162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861" w:rsidRPr="00817623" w:rsidRDefault="005B3861" w:rsidP="0081762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  <w:r w:rsidR="00817623"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– větev směr Břeclav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817623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206a/b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817623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817623" w:rsidRDefault="00817623" w:rsidP="0081762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0,096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817623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 – větev směr Olomouc</w:t>
            </w:r>
          </w:p>
        </w:tc>
      </w:tr>
      <w:tr w:rsidR="005B3861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B3861" w:rsidRPr="00817623" w:rsidRDefault="005B3861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207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3861" w:rsidRPr="00817623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B3861" w:rsidRPr="00817623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0,027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861" w:rsidRPr="0068020A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817623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208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817623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817623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-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jazyk výhybky nezaměřen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209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DA46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0,032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68020A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817623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212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0,091 m 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213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0,009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214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0,103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215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0,076 m 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216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0,106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217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0,078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219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0,058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68020A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220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0,076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68020A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221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0,071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68020A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222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0,015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68020A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225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0,004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68020A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227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0,154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231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0,142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235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034FC5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0,084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DA46D8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cs="Times New Roman"/>
                <w:sz w:val="22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265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0,068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274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DA46D8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0,056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DA46D8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A46D8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E273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27361">
              <w:rPr>
                <w:rFonts w:eastAsia="Times New Roman" w:cs="Times New Roman"/>
                <w:color w:val="000000"/>
                <w:szCs w:val="24"/>
                <w:lang w:eastAsia="cs-CZ"/>
              </w:rPr>
              <w:t>275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0,634</w:t>
            </w: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E273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27361">
              <w:rPr>
                <w:rFonts w:eastAsia="Times New Roman" w:cs="Times New Roman"/>
                <w:color w:val="000000"/>
                <w:szCs w:val="24"/>
                <w:lang w:eastAsia="cs-CZ"/>
              </w:rPr>
              <w:t>276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0,450</w:t>
            </w: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277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-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jazyk výhybky nezaměřen</w:t>
            </w:r>
          </w:p>
        </w:tc>
      </w:tr>
      <w:tr w:rsidR="009F0B6B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F0B6B" w:rsidRPr="001D3D3C" w:rsidRDefault="009F0B6B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278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0B6B" w:rsidRPr="001D3D3C" w:rsidRDefault="009F0B6B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1:5,7-230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F0B6B" w:rsidRPr="005B3861" w:rsidRDefault="00CF7FE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0,215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F0B6B" w:rsidRPr="005B3861" w:rsidRDefault="00CF7FE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lastRenderedPageBreak/>
              <w:t>279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7,503 </w:t>
            </w: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280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1D3D3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1,613 </w:t>
            </w: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281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0,354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1D3D3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D3D3C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F15B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F15BC">
              <w:rPr>
                <w:rFonts w:eastAsia="Times New Roman" w:cs="Times New Roman"/>
                <w:color w:val="000000"/>
                <w:szCs w:val="24"/>
                <w:lang w:eastAsia="cs-CZ"/>
              </w:rPr>
              <w:t>282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68020A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1:9-</w:t>
            </w: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19</w:t>
            </w: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1F15B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0,0</w:t>
            </w: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64</w:t>
            </w: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E8717C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8717C" w:rsidRPr="001F15BC" w:rsidRDefault="00E8717C" w:rsidP="00E8717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283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17C" w:rsidRPr="005B3861" w:rsidRDefault="00E8717C" w:rsidP="00E8717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8717C" w:rsidRPr="005B3861" w:rsidRDefault="00E8717C" w:rsidP="00E8717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-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717C" w:rsidRPr="005B3861" w:rsidRDefault="00E8717C" w:rsidP="00E8717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jazyk výhybky nezaměřen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F15B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F15BC">
              <w:rPr>
                <w:rFonts w:eastAsia="Times New Roman" w:cs="Times New Roman"/>
                <w:color w:val="000000"/>
                <w:szCs w:val="24"/>
                <w:lang w:eastAsia="cs-CZ"/>
              </w:rPr>
              <w:t>284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1F15B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0,0</w:t>
            </w: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08</w:t>
            </w: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F15B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F15BC">
              <w:rPr>
                <w:rFonts w:eastAsia="Times New Roman" w:cs="Times New Roman"/>
                <w:color w:val="000000"/>
                <w:szCs w:val="24"/>
                <w:lang w:eastAsia="cs-CZ"/>
              </w:rPr>
              <w:t>285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1F15BC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F15BC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1F15B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1,</w:t>
            </w: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563</w:t>
            </w: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F15B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F15BC">
              <w:rPr>
                <w:rFonts w:eastAsia="Times New Roman" w:cs="Times New Roman"/>
                <w:color w:val="000000"/>
                <w:szCs w:val="24"/>
                <w:lang w:eastAsia="cs-CZ"/>
              </w:rPr>
              <w:t>286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1F15B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1,</w:t>
            </w: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599</w:t>
            </w: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1F15BC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F15BC">
              <w:rPr>
                <w:rFonts w:eastAsia="Times New Roman" w:cs="Times New Roman"/>
                <w:color w:val="000000"/>
                <w:szCs w:val="24"/>
                <w:lang w:eastAsia="cs-CZ"/>
              </w:rPr>
              <w:t>287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1F15B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1:9-</w:t>
            </w: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19</w:t>
            </w: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-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jazyk výhybky nezaměřen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288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1,603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289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4,105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-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jazyk výhybky nezaměřen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291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0,086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292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2,546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293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1:7,5-190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0,009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ve směru staničení</w:t>
            </w:r>
          </w:p>
        </w:tc>
      </w:tr>
      <w:tr w:rsidR="00817623" w:rsidRPr="0068020A" w:rsidTr="00E2009E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294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5B386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0,020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623" w:rsidRPr="005B3861" w:rsidRDefault="00817623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</w:tbl>
    <w:p w:rsidR="00E2009E" w:rsidRPr="0068020A" w:rsidRDefault="00E2009E">
      <w:pPr>
        <w:spacing w:line="276" w:lineRule="auto"/>
        <w:ind w:firstLine="0"/>
        <w:jc w:val="left"/>
        <w:rPr>
          <w:b/>
          <w:i/>
          <w:highlight w:val="yellow"/>
          <w:u w:val="single"/>
        </w:rPr>
      </w:pPr>
    </w:p>
    <w:p w:rsidR="00CB4DC4" w:rsidRPr="0001618E" w:rsidRDefault="00CB4DC4" w:rsidP="00CB4DC4">
      <w:pPr>
        <w:pStyle w:val="Podnadpis1"/>
        <w:ind w:firstLine="709"/>
      </w:pPr>
      <w:r w:rsidRPr="0001618E">
        <w:t>Námezníky</w:t>
      </w:r>
    </w:p>
    <w:p w:rsidR="00CB4DC4" w:rsidRPr="0001618E" w:rsidRDefault="00CB4DC4" w:rsidP="005D49C9">
      <w:pPr>
        <w:spacing w:before="240"/>
      </w:pPr>
      <w:r w:rsidRPr="0001618E">
        <w:t xml:space="preserve">U všech nově vkládaných výhybek budou osazeny námezníky. Jejich poloha </w:t>
      </w:r>
      <w:r w:rsidR="00E2009E" w:rsidRPr="0001618E">
        <w:t>bude určena odměřením osových vzdáleností kolejí v terénu</w:t>
      </w:r>
      <w:r w:rsidRPr="0001618E">
        <w:t>. Pro účely posouzení vztahu nové polohy námezníků a izolovaných styků je v následující tabulce uveden posun jednotlivých námezníků:</w:t>
      </w:r>
    </w:p>
    <w:tbl>
      <w:tblPr>
        <w:tblW w:w="68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5"/>
        <w:gridCol w:w="2360"/>
        <w:gridCol w:w="2360"/>
      </w:tblGrid>
      <w:tr w:rsidR="00E2009E" w:rsidRPr="0001618E" w:rsidTr="00E2009E">
        <w:trPr>
          <w:trHeight w:val="475"/>
          <w:jc w:val="center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009E" w:rsidRPr="0001618E" w:rsidRDefault="00E2009E" w:rsidP="00E2009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č. výhybky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009E" w:rsidRPr="0001618E" w:rsidRDefault="00E2009E" w:rsidP="00E2009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posun námezníku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009E" w:rsidRPr="0001618E" w:rsidRDefault="00E2009E" w:rsidP="00E2009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směr posunu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201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01618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4,139</w:t>
            </w:r>
            <w:r w:rsidR="00DF51C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  <w:r w:rsidR="0001618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202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01618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4,186</w:t>
            </w:r>
            <w:r w:rsidR="00DF51C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204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01618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4,074</w:t>
            </w:r>
            <w:r w:rsidR="00DF51C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206a/b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01618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0,095</w:t>
            </w:r>
            <w:r w:rsidR="00DF51C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  <w:r w:rsidR="0001618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, námezník směr Břeclav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206a/b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01618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3,914</w:t>
            </w:r>
            <w:r w:rsidR="00DF51C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01618E" w:rsidP="0001618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výhybce, námezník směr Olomouc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207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01618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3,914</w:t>
            </w:r>
            <w:r w:rsidR="00DF51C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208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6,704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209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01618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0,865</w:t>
            </w:r>
            <w:r w:rsidR="00DF51CE"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od výhybky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212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9,072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lastRenderedPageBreak/>
              <w:t>213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0,286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od výhybky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214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0,435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215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0,904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216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11,808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od výhybky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217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0,042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219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3,732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220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3,987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 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221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0,250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 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222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3,708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225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4,514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227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1,569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231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0,237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235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1,519 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cs="Times New Roman"/>
                <w:sz w:val="22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265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274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275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276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DF51CE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026C2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277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51CE" w:rsidRPr="0001618E" w:rsidRDefault="00DF51CE" w:rsidP="00E2009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278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279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2,004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od výhybky</w:t>
            </w: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280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2,657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283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284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285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11,175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286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10,793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287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288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8,182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od výhybky</w:t>
            </w: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289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01618E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290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68020A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01618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291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DF51C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DF51C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68020A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5B3861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t>292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DF51C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F51C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DF51C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68020A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5B3861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5B3861">
              <w:rPr>
                <w:rFonts w:eastAsia="Times New Roman" w:cs="Times New Roman"/>
                <w:color w:val="000000"/>
                <w:szCs w:val="24"/>
                <w:lang w:eastAsia="cs-CZ"/>
              </w:rPr>
              <w:lastRenderedPageBreak/>
              <w:t>293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B06A6" w:rsidRPr="00DF51C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F51C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DF51C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B06A6" w:rsidRPr="0068020A" w:rsidTr="00E2009E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06A6" w:rsidRPr="0068020A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</w:pPr>
            <w:r w:rsidRPr="00DF51CE">
              <w:rPr>
                <w:rFonts w:eastAsia="Times New Roman" w:cs="Times New Roman"/>
                <w:color w:val="000000"/>
                <w:szCs w:val="24"/>
                <w:lang w:eastAsia="cs-CZ"/>
              </w:rPr>
              <w:t>294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06A6" w:rsidRPr="00DF51C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F51CE">
              <w:rPr>
                <w:rFonts w:eastAsia="Times New Roman" w:cs="Times New Roman"/>
                <w:color w:val="000000"/>
                <w:szCs w:val="24"/>
                <w:lang w:eastAsia="cs-CZ"/>
              </w:rPr>
              <w:t>námezník nezaměřen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A6" w:rsidRPr="00DF51CE" w:rsidRDefault="002B06A6" w:rsidP="002B06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F51CE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</w:tbl>
    <w:p w:rsidR="0001618E" w:rsidRDefault="0001618E" w:rsidP="0001618E">
      <w:pPr>
        <w:pStyle w:val="Nadpis2"/>
        <w:numPr>
          <w:ilvl w:val="0"/>
          <w:numId w:val="0"/>
        </w:numPr>
        <w:rPr>
          <w:rFonts w:cs="Times New Roman"/>
        </w:rPr>
      </w:pPr>
      <w:bookmarkStart w:id="14" w:name="_Toc46983101"/>
    </w:p>
    <w:p w:rsidR="001641D6" w:rsidRPr="00EE03FE" w:rsidRDefault="001641D6" w:rsidP="001641D6">
      <w:pPr>
        <w:pStyle w:val="Nadpis2"/>
        <w:ind w:left="578" w:hanging="578"/>
        <w:rPr>
          <w:rFonts w:cs="Times New Roman"/>
        </w:rPr>
      </w:pPr>
      <w:bookmarkStart w:id="15" w:name="_Toc94621535"/>
      <w:r w:rsidRPr="00EE03FE">
        <w:rPr>
          <w:rFonts w:cs="Times New Roman"/>
        </w:rPr>
        <w:t>Osové vzdálenosti kolejí</w:t>
      </w:r>
      <w:bookmarkEnd w:id="14"/>
      <w:bookmarkEnd w:id="15"/>
    </w:p>
    <w:p w:rsidR="001641D6" w:rsidRPr="00EE03FE" w:rsidRDefault="001641D6" w:rsidP="001641D6">
      <w:pPr>
        <w:rPr>
          <w:rFonts w:cs="Times New Roman"/>
        </w:rPr>
      </w:pPr>
      <w:r w:rsidRPr="00EE03FE">
        <w:t xml:space="preserve"> </w:t>
      </w:r>
      <w:r w:rsidRPr="00EE03FE">
        <w:rPr>
          <w:rFonts w:cs="Times New Roman"/>
        </w:rPr>
        <w:t>Osová vzdálenost mezi kolejemi se pohybuje se v rozmezí:</w:t>
      </w:r>
    </w:p>
    <w:tbl>
      <w:tblPr>
        <w:tblW w:w="43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2351"/>
      </w:tblGrid>
      <w:tr w:rsidR="001641D6" w:rsidRPr="001641D6" w:rsidTr="00ED6CA6">
        <w:trPr>
          <w:trHeight w:val="360"/>
          <w:jc w:val="center"/>
        </w:trPr>
        <w:tc>
          <w:tcPr>
            <w:tcW w:w="19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41D6" w:rsidRPr="00EE03FE" w:rsidRDefault="001641D6" w:rsidP="00ED6CA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b/>
                <w:szCs w:val="24"/>
                <w:lang w:eastAsia="cs-CZ"/>
              </w:rPr>
              <w:t>mezi kolejemi</w:t>
            </w:r>
          </w:p>
        </w:tc>
        <w:tc>
          <w:tcPr>
            <w:tcW w:w="23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41D6" w:rsidRPr="00EE03FE" w:rsidRDefault="001641D6" w:rsidP="00ED6CA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b/>
                <w:szCs w:val="24"/>
                <w:lang w:eastAsia="cs-CZ"/>
              </w:rPr>
              <w:t>osová vzdálenost</w:t>
            </w:r>
          </w:p>
        </w:tc>
      </w:tr>
      <w:tr w:rsidR="001641D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  <w:hideMark/>
          </w:tcPr>
          <w:p w:rsidR="001641D6" w:rsidRPr="00ED6CA6" w:rsidRDefault="001641D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6CA6">
              <w:rPr>
                <w:rFonts w:eastAsia="Times New Roman" w:cs="Times New Roman"/>
                <w:szCs w:val="24"/>
                <w:lang w:eastAsia="cs-CZ"/>
              </w:rPr>
              <w:t>20</w:t>
            </w:r>
            <w:r w:rsidR="00ED6CA6" w:rsidRPr="00ED6CA6">
              <w:rPr>
                <w:rFonts w:eastAsia="Times New Roman" w:cs="Times New Roman"/>
                <w:szCs w:val="24"/>
                <w:lang w:eastAsia="cs-CZ"/>
              </w:rPr>
              <w:t>0</w:t>
            </w:r>
            <w:r w:rsidRPr="00ED6CA6">
              <w:rPr>
                <w:rFonts w:eastAsia="Times New Roman" w:cs="Times New Roman"/>
                <w:szCs w:val="24"/>
                <w:lang w:eastAsia="cs-CZ"/>
              </w:rPr>
              <w:t xml:space="preserve"> - 2</w:t>
            </w:r>
            <w:r w:rsidR="00ED6CA6" w:rsidRPr="00ED6CA6">
              <w:rPr>
                <w:rFonts w:eastAsia="Times New Roman" w:cs="Times New Roman"/>
                <w:szCs w:val="24"/>
                <w:lang w:eastAsia="cs-CZ"/>
              </w:rPr>
              <w:t>0</w:t>
            </w:r>
            <w:r w:rsidRPr="00ED6CA6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2351" w:type="dxa"/>
            <w:vAlign w:val="center"/>
          </w:tcPr>
          <w:p w:rsidR="001641D6" w:rsidRPr="00ED6CA6" w:rsidRDefault="001641D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6CA6">
              <w:rPr>
                <w:rFonts w:eastAsia="Times New Roman" w:cs="Times New Roman"/>
                <w:szCs w:val="24"/>
                <w:lang w:eastAsia="cs-CZ"/>
              </w:rPr>
              <w:t>4,</w:t>
            </w:r>
            <w:r w:rsidR="00ED6CA6" w:rsidRPr="00ED6CA6">
              <w:rPr>
                <w:rFonts w:eastAsia="Times New Roman" w:cs="Times New Roman"/>
                <w:szCs w:val="24"/>
                <w:lang w:eastAsia="cs-CZ"/>
              </w:rPr>
              <w:t>686 – 4,863</w:t>
            </w:r>
            <w:r w:rsidRPr="00ED6CA6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</w:tr>
      <w:tr w:rsidR="001641D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1641D6" w:rsidRPr="007E6E9D" w:rsidRDefault="001641D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E6E9D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ED6CA6" w:rsidRPr="007E6E9D">
              <w:rPr>
                <w:rFonts w:eastAsia="Times New Roman" w:cs="Times New Roman"/>
                <w:szCs w:val="24"/>
                <w:lang w:eastAsia="cs-CZ"/>
              </w:rPr>
              <w:t>0</w:t>
            </w:r>
            <w:r w:rsidRPr="007E6E9D">
              <w:rPr>
                <w:rFonts w:eastAsia="Times New Roman" w:cs="Times New Roman"/>
                <w:szCs w:val="24"/>
                <w:lang w:eastAsia="cs-CZ"/>
              </w:rPr>
              <w:t>2 - 2</w:t>
            </w:r>
            <w:r w:rsidR="00ED6CA6" w:rsidRPr="007E6E9D">
              <w:rPr>
                <w:rFonts w:eastAsia="Times New Roman" w:cs="Times New Roman"/>
                <w:szCs w:val="24"/>
                <w:lang w:eastAsia="cs-CZ"/>
              </w:rPr>
              <w:t>0</w:t>
            </w:r>
            <w:r w:rsidRPr="007E6E9D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2351" w:type="dxa"/>
            <w:vAlign w:val="center"/>
          </w:tcPr>
          <w:p w:rsidR="001641D6" w:rsidRPr="007E6E9D" w:rsidRDefault="001641D6" w:rsidP="007E6E9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E6E9D">
              <w:rPr>
                <w:rFonts w:eastAsia="Times New Roman" w:cs="Times New Roman"/>
                <w:szCs w:val="24"/>
                <w:lang w:eastAsia="cs-CZ"/>
              </w:rPr>
              <w:t>4,7</w:t>
            </w:r>
            <w:r w:rsidR="007E6E9D" w:rsidRPr="007E6E9D">
              <w:rPr>
                <w:rFonts w:eastAsia="Times New Roman" w:cs="Times New Roman"/>
                <w:szCs w:val="24"/>
                <w:lang w:eastAsia="cs-CZ"/>
              </w:rPr>
              <w:t>80</w:t>
            </w:r>
            <w:r w:rsidRPr="007E6E9D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="007E6E9D" w:rsidRPr="007E6E9D">
              <w:rPr>
                <w:rFonts w:eastAsia="Times New Roman" w:cs="Times New Roman"/>
                <w:szCs w:val="24"/>
                <w:lang w:eastAsia="cs-CZ"/>
              </w:rPr>
              <w:t xml:space="preserve">– 5,021 </w:t>
            </w:r>
            <w:r w:rsidRPr="007E6E9D">
              <w:rPr>
                <w:rFonts w:eastAsia="Times New Roman" w:cs="Times New Roman"/>
                <w:szCs w:val="24"/>
                <w:lang w:eastAsia="cs-CZ"/>
              </w:rPr>
              <w:t>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7E6E9D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E6E9D">
              <w:rPr>
                <w:rFonts w:eastAsia="Times New Roman" w:cs="Times New Roman"/>
                <w:szCs w:val="24"/>
                <w:lang w:eastAsia="cs-CZ"/>
              </w:rPr>
              <w:t>204 – 206</w:t>
            </w:r>
          </w:p>
        </w:tc>
        <w:tc>
          <w:tcPr>
            <w:tcW w:w="2351" w:type="dxa"/>
            <w:vAlign w:val="center"/>
          </w:tcPr>
          <w:p w:rsidR="00ED6CA6" w:rsidRPr="007E6E9D" w:rsidRDefault="007E6E9D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E6E9D">
              <w:rPr>
                <w:rFonts w:eastAsia="Times New Roman" w:cs="Times New Roman"/>
                <w:szCs w:val="24"/>
                <w:lang w:eastAsia="cs-CZ"/>
              </w:rPr>
              <w:t>4,733 – 4,780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7E6E9D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E6E9D">
              <w:rPr>
                <w:rFonts w:eastAsia="Times New Roman" w:cs="Times New Roman"/>
                <w:szCs w:val="24"/>
                <w:lang w:eastAsia="cs-CZ"/>
              </w:rPr>
              <w:t>206 – 208</w:t>
            </w:r>
          </w:p>
        </w:tc>
        <w:tc>
          <w:tcPr>
            <w:tcW w:w="2351" w:type="dxa"/>
            <w:vAlign w:val="center"/>
          </w:tcPr>
          <w:p w:rsidR="00ED6CA6" w:rsidRPr="007E6E9D" w:rsidRDefault="007E6E9D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E6E9D">
              <w:rPr>
                <w:rFonts w:eastAsia="Times New Roman" w:cs="Times New Roman"/>
                <w:szCs w:val="24"/>
                <w:lang w:eastAsia="cs-CZ"/>
              </w:rPr>
              <w:t>4,713 – 4,902 m</w:t>
            </w:r>
          </w:p>
        </w:tc>
      </w:tr>
      <w:tr w:rsidR="007E6E9D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7E6E9D" w:rsidRPr="007E6E9D" w:rsidRDefault="007E6E9D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208 - 210</w:t>
            </w:r>
          </w:p>
        </w:tc>
        <w:tc>
          <w:tcPr>
            <w:tcW w:w="2351" w:type="dxa"/>
            <w:vAlign w:val="center"/>
          </w:tcPr>
          <w:p w:rsidR="007E6E9D" w:rsidRPr="007E6E9D" w:rsidRDefault="007E6E9D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E6E9D">
              <w:rPr>
                <w:rFonts w:eastAsia="Times New Roman" w:cs="Times New Roman"/>
                <w:szCs w:val="24"/>
                <w:lang w:eastAsia="cs-CZ"/>
              </w:rPr>
              <w:t>4,783 - 4,788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7E6E9D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E6E9D">
              <w:rPr>
                <w:rFonts w:eastAsia="Times New Roman" w:cs="Times New Roman"/>
                <w:szCs w:val="24"/>
                <w:lang w:eastAsia="cs-CZ"/>
              </w:rPr>
              <w:t>210 – 212</w:t>
            </w:r>
          </w:p>
        </w:tc>
        <w:tc>
          <w:tcPr>
            <w:tcW w:w="2351" w:type="dxa"/>
            <w:vAlign w:val="center"/>
          </w:tcPr>
          <w:p w:rsidR="00ED6CA6" w:rsidRPr="007E6E9D" w:rsidRDefault="007E6E9D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4,686 – 4,707 m</w:t>
            </w:r>
          </w:p>
        </w:tc>
      </w:tr>
      <w:tr w:rsidR="007E6E9D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7E6E9D" w:rsidRPr="0051371D" w:rsidRDefault="007E6E9D" w:rsidP="007E6E9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1371D">
              <w:rPr>
                <w:rFonts w:eastAsia="Times New Roman" w:cs="Times New Roman"/>
                <w:szCs w:val="24"/>
                <w:lang w:eastAsia="cs-CZ"/>
              </w:rPr>
              <w:t>212 – 214</w:t>
            </w:r>
          </w:p>
        </w:tc>
        <w:tc>
          <w:tcPr>
            <w:tcW w:w="2351" w:type="dxa"/>
            <w:vAlign w:val="center"/>
          </w:tcPr>
          <w:p w:rsidR="007E6E9D" w:rsidRPr="0051371D" w:rsidRDefault="0051371D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1371D">
              <w:rPr>
                <w:rFonts w:eastAsia="Times New Roman" w:cs="Times New Roman"/>
                <w:szCs w:val="24"/>
                <w:lang w:eastAsia="cs-CZ"/>
              </w:rPr>
              <w:t xml:space="preserve">4,750 - </w:t>
            </w:r>
            <w:r w:rsidR="007E6E9D" w:rsidRPr="0051371D">
              <w:rPr>
                <w:rFonts w:eastAsia="Times New Roman" w:cs="Times New Roman"/>
                <w:szCs w:val="24"/>
                <w:lang w:eastAsia="cs-CZ"/>
              </w:rPr>
              <w:t>4,753</w:t>
            </w:r>
            <w:r w:rsidRPr="0051371D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51371D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1371D">
              <w:rPr>
                <w:rFonts w:eastAsia="Times New Roman" w:cs="Times New Roman"/>
                <w:szCs w:val="24"/>
                <w:lang w:eastAsia="cs-CZ"/>
              </w:rPr>
              <w:t xml:space="preserve">214 - 216 </w:t>
            </w:r>
          </w:p>
        </w:tc>
        <w:tc>
          <w:tcPr>
            <w:tcW w:w="2351" w:type="dxa"/>
            <w:vAlign w:val="center"/>
          </w:tcPr>
          <w:p w:rsidR="00ED6CA6" w:rsidRPr="0051371D" w:rsidRDefault="007E6E9D" w:rsidP="0051371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1371D">
              <w:rPr>
                <w:rFonts w:eastAsia="Times New Roman" w:cs="Times New Roman"/>
                <w:szCs w:val="24"/>
                <w:lang w:eastAsia="cs-CZ"/>
              </w:rPr>
              <w:t>4,75</w:t>
            </w:r>
            <w:r w:rsidR="0051371D" w:rsidRPr="0051371D">
              <w:rPr>
                <w:rFonts w:eastAsia="Times New Roman" w:cs="Times New Roman"/>
                <w:szCs w:val="24"/>
                <w:lang w:eastAsia="cs-CZ"/>
              </w:rPr>
              <w:t>7 – 4,785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51371D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1371D">
              <w:rPr>
                <w:rFonts w:eastAsia="Times New Roman" w:cs="Times New Roman"/>
                <w:szCs w:val="24"/>
                <w:lang w:eastAsia="cs-CZ"/>
              </w:rPr>
              <w:t>216 – 218</w:t>
            </w:r>
          </w:p>
        </w:tc>
        <w:tc>
          <w:tcPr>
            <w:tcW w:w="2351" w:type="dxa"/>
            <w:vAlign w:val="center"/>
          </w:tcPr>
          <w:p w:rsidR="00ED6CA6" w:rsidRPr="0051371D" w:rsidRDefault="0051371D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1371D">
              <w:rPr>
                <w:rFonts w:eastAsia="Times New Roman" w:cs="Times New Roman"/>
                <w:szCs w:val="24"/>
                <w:lang w:eastAsia="cs-CZ"/>
              </w:rPr>
              <w:t>4,760 – 4,788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FF5984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F5984">
              <w:rPr>
                <w:rFonts w:eastAsia="Times New Roman" w:cs="Times New Roman"/>
                <w:szCs w:val="24"/>
                <w:lang w:eastAsia="cs-CZ"/>
              </w:rPr>
              <w:t>218 - 220</w:t>
            </w:r>
          </w:p>
        </w:tc>
        <w:tc>
          <w:tcPr>
            <w:tcW w:w="2351" w:type="dxa"/>
            <w:vAlign w:val="center"/>
          </w:tcPr>
          <w:p w:rsidR="00ED6CA6" w:rsidRPr="00FF5984" w:rsidRDefault="00FF5984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F5984">
              <w:rPr>
                <w:rFonts w:eastAsia="Times New Roman" w:cs="Times New Roman"/>
                <w:szCs w:val="24"/>
                <w:lang w:eastAsia="cs-CZ"/>
              </w:rPr>
              <w:t>4,686 – 4,978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FF5984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F5984">
              <w:rPr>
                <w:rFonts w:eastAsia="Times New Roman" w:cs="Times New Roman"/>
                <w:szCs w:val="24"/>
                <w:lang w:eastAsia="cs-CZ"/>
              </w:rPr>
              <w:t>220 – 222</w:t>
            </w:r>
          </w:p>
        </w:tc>
        <w:tc>
          <w:tcPr>
            <w:tcW w:w="2351" w:type="dxa"/>
            <w:vAlign w:val="center"/>
          </w:tcPr>
          <w:p w:rsidR="00ED6CA6" w:rsidRPr="00FF5984" w:rsidRDefault="00FF5984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F5984">
              <w:rPr>
                <w:rFonts w:eastAsia="Times New Roman" w:cs="Times New Roman"/>
                <w:szCs w:val="24"/>
                <w:lang w:eastAsia="cs-CZ"/>
              </w:rPr>
              <w:t>4,643 – 4,736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EE03FE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szCs w:val="24"/>
                <w:lang w:eastAsia="cs-CZ"/>
              </w:rPr>
              <w:t>222 – 224</w:t>
            </w:r>
          </w:p>
        </w:tc>
        <w:tc>
          <w:tcPr>
            <w:tcW w:w="2351" w:type="dxa"/>
            <w:vAlign w:val="center"/>
          </w:tcPr>
          <w:p w:rsidR="00ED6CA6" w:rsidRPr="00EE03FE" w:rsidRDefault="00EE03FE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szCs w:val="24"/>
                <w:lang w:eastAsia="cs-CZ"/>
              </w:rPr>
              <w:t>4,762 - 4,776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EE03FE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szCs w:val="24"/>
                <w:lang w:eastAsia="cs-CZ"/>
              </w:rPr>
              <w:t>224 – 226</w:t>
            </w:r>
          </w:p>
        </w:tc>
        <w:tc>
          <w:tcPr>
            <w:tcW w:w="2351" w:type="dxa"/>
            <w:vAlign w:val="center"/>
          </w:tcPr>
          <w:p w:rsidR="00ED6CA6" w:rsidRPr="00EE03FE" w:rsidRDefault="00EE03FE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szCs w:val="24"/>
                <w:lang w:eastAsia="cs-CZ"/>
              </w:rPr>
              <w:t>4,741 – 4,854 m</w:t>
            </w:r>
          </w:p>
        </w:tc>
      </w:tr>
      <w:tr w:rsidR="00ED6CA6" w:rsidRPr="001641D6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ED6CA6" w:rsidRPr="00EE03FE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szCs w:val="24"/>
                <w:lang w:eastAsia="cs-CZ"/>
              </w:rPr>
              <w:t>226 -228</w:t>
            </w:r>
          </w:p>
        </w:tc>
        <w:tc>
          <w:tcPr>
            <w:tcW w:w="2351" w:type="dxa"/>
            <w:vAlign w:val="center"/>
          </w:tcPr>
          <w:p w:rsidR="00ED6CA6" w:rsidRPr="00EE03FE" w:rsidRDefault="00EE03FE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szCs w:val="24"/>
                <w:lang w:eastAsia="cs-CZ"/>
              </w:rPr>
              <w:t>4,690 - 4,734 m</w:t>
            </w:r>
          </w:p>
        </w:tc>
      </w:tr>
      <w:tr w:rsidR="001641D6" w:rsidRPr="002D4278" w:rsidTr="00ED6CA6">
        <w:trPr>
          <w:trHeight w:val="340"/>
          <w:jc w:val="center"/>
        </w:trPr>
        <w:tc>
          <w:tcPr>
            <w:tcW w:w="1986" w:type="dxa"/>
            <w:shd w:val="clear" w:color="auto" w:fill="auto"/>
            <w:noWrap/>
            <w:vAlign w:val="center"/>
          </w:tcPr>
          <w:p w:rsidR="001641D6" w:rsidRPr="00EE03FE" w:rsidRDefault="00ED6CA6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szCs w:val="24"/>
                <w:lang w:eastAsia="cs-CZ"/>
              </w:rPr>
              <w:t>228 – 230</w:t>
            </w:r>
          </w:p>
        </w:tc>
        <w:tc>
          <w:tcPr>
            <w:tcW w:w="2351" w:type="dxa"/>
            <w:vAlign w:val="center"/>
          </w:tcPr>
          <w:p w:rsidR="001641D6" w:rsidRPr="00EE03FE" w:rsidRDefault="00EE03FE" w:rsidP="00ED6CA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E03FE">
              <w:rPr>
                <w:rFonts w:eastAsia="Times New Roman" w:cs="Times New Roman"/>
                <w:szCs w:val="24"/>
                <w:lang w:eastAsia="cs-CZ"/>
              </w:rPr>
              <w:t>4,721 – 4,767</w:t>
            </w:r>
            <w:r w:rsidR="001641D6" w:rsidRPr="00EE03FE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</w:tr>
    </w:tbl>
    <w:p w:rsidR="001641D6" w:rsidRDefault="001641D6" w:rsidP="001641D6">
      <w:pPr>
        <w:pStyle w:val="Nadpis1"/>
        <w:numPr>
          <w:ilvl w:val="0"/>
          <w:numId w:val="0"/>
        </w:numPr>
        <w:ind w:left="432"/>
        <w:jc w:val="both"/>
      </w:pPr>
    </w:p>
    <w:p w:rsidR="000D4B34" w:rsidRPr="005C7F50" w:rsidRDefault="000D4B34" w:rsidP="009539C0">
      <w:pPr>
        <w:pStyle w:val="Nadpis1"/>
      </w:pPr>
      <w:bookmarkStart w:id="16" w:name="_Toc94621536"/>
      <w:r w:rsidRPr="005C7F50">
        <w:t>Konstrukční uspořádání železničního svršku a zřízení bezstykové koleje</w:t>
      </w:r>
      <w:bookmarkEnd w:id="16"/>
    </w:p>
    <w:p w:rsidR="000D4B34" w:rsidRPr="005C7F50" w:rsidRDefault="000D4B34" w:rsidP="000D4B34">
      <w:r w:rsidRPr="005C7F50">
        <w:t>Konstrukční uspořádání železničního svršku (sestavy železničního svršku, přechodové kolejnice…) a rozsah a způsob zřízení bezstykové koleje určí správa tratí O</w:t>
      </w:r>
      <w:r w:rsidR="005C7F50" w:rsidRPr="005C7F50">
        <w:t>lomouc</w:t>
      </w:r>
      <w:r w:rsidRPr="005C7F50">
        <w:t>. Bezstyková kolej bude zřízena dle předpisu SŽDC S3/2.</w:t>
      </w:r>
    </w:p>
    <w:p w:rsidR="0044207B" w:rsidRPr="005C7F50" w:rsidRDefault="0044207B" w:rsidP="009539C0">
      <w:pPr>
        <w:pStyle w:val="Nadpis1"/>
      </w:pPr>
      <w:bookmarkStart w:id="17" w:name="_Toc94621537"/>
      <w:r w:rsidRPr="005C7F50">
        <w:t>Zajištění prostorové polohy koleje</w:t>
      </w:r>
      <w:r w:rsidR="001E4267" w:rsidRPr="005C7F50">
        <w:t xml:space="preserve"> a železniční bodové pole</w:t>
      </w:r>
      <w:bookmarkEnd w:id="17"/>
    </w:p>
    <w:p w:rsidR="001E4267" w:rsidRPr="005C7F50" w:rsidRDefault="00C310C4" w:rsidP="003B08C3">
      <w:r w:rsidRPr="005C7F50">
        <w:t>Pro opravované koleje</w:t>
      </w:r>
      <w:r w:rsidR="003B08C3" w:rsidRPr="005C7F50">
        <w:t xml:space="preserve"> nebude vypracováno samostatné zajištění. Pro vytyčení stavby bud</w:t>
      </w:r>
      <w:r w:rsidRPr="005C7F50">
        <w:t>ou</w:t>
      </w:r>
      <w:r w:rsidR="003B08C3" w:rsidRPr="005C7F50">
        <w:t xml:space="preserve"> </w:t>
      </w:r>
      <w:r w:rsidRPr="005C7F50">
        <w:t>využit</w:t>
      </w:r>
      <w:r w:rsidR="009D2773" w:rsidRPr="005C7F50">
        <w:t>y</w:t>
      </w:r>
      <w:r w:rsidRPr="005C7F50">
        <w:t xml:space="preserve"> </w:t>
      </w:r>
      <w:r w:rsidR="003B08C3" w:rsidRPr="005C7F50">
        <w:t xml:space="preserve">stávající zajišťovací značky </w:t>
      </w:r>
      <w:r w:rsidR="009D2773" w:rsidRPr="005C7F50">
        <w:t xml:space="preserve">hlavních kolejí. </w:t>
      </w:r>
      <w:r w:rsidR="003B08C3" w:rsidRPr="005C7F50">
        <w:t xml:space="preserve">Souřadnice těchto zajišťovacích značek </w:t>
      </w:r>
      <w:r w:rsidRPr="005C7F50">
        <w:t>je nutné si vyžádat u</w:t>
      </w:r>
      <w:r w:rsidR="005D49C9" w:rsidRPr="005C7F50">
        <w:t> </w:t>
      </w:r>
      <w:r w:rsidR="003B08C3" w:rsidRPr="005C7F50">
        <w:t>místně příslušn</w:t>
      </w:r>
      <w:r w:rsidR="005D49C9" w:rsidRPr="005C7F50">
        <w:t>ého</w:t>
      </w:r>
      <w:r w:rsidR="003B08C3" w:rsidRPr="005C7F50">
        <w:t xml:space="preserve"> správce prostorové polohy koleje.</w:t>
      </w:r>
    </w:p>
    <w:p w:rsidR="003B0DA3" w:rsidRPr="005C7F50" w:rsidRDefault="003B0DA3" w:rsidP="00E908F0">
      <w:pPr>
        <w:pStyle w:val="Nadpis1"/>
      </w:pPr>
      <w:bookmarkStart w:id="18" w:name="_Toc94621538"/>
      <w:r w:rsidRPr="005C7F50">
        <w:lastRenderedPageBreak/>
        <w:t>Výstroj trati</w:t>
      </w:r>
      <w:bookmarkEnd w:id="18"/>
    </w:p>
    <w:p w:rsidR="00772A49" w:rsidRPr="005C7F50" w:rsidRDefault="003B08C3" w:rsidP="00645552">
      <w:r w:rsidRPr="005C7F50">
        <w:t>Výstroj trati nebude upravována.</w:t>
      </w:r>
    </w:p>
    <w:p w:rsidR="00E908F0" w:rsidRPr="00640DFD" w:rsidRDefault="00F02050" w:rsidP="00E908F0">
      <w:pPr>
        <w:pStyle w:val="Nadpis1"/>
      </w:pPr>
      <w:bookmarkStart w:id="19" w:name="_Toc94621539"/>
      <w:r w:rsidRPr="00640DFD">
        <w:t>Dotčené objekty</w:t>
      </w:r>
      <w:bookmarkEnd w:id="19"/>
    </w:p>
    <w:p w:rsidR="00274DDA" w:rsidRPr="00C115DA" w:rsidRDefault="00B179F1" w:rsidP="00274DDA">
      <w:pPr>
        <w:pStyle w:val="Nadpis2"/>
      </w:pPr>
      <w:bookmarkStart w:id="20" w:name="_Toc94621540"/>
      <w:r w:rsidRPr="00C115DA">
        <w:t>Světelná n</w:t>
      </w:r>
      <w:r w:rsidR="00274DDA" w:rsidRPr="00C115DA">
        <w:t>ávěstidla</w:t>
      </w:r>
      <w:bookmarkEnd w:id="20"/>
    </w:p>
    <w:p w:rsidR="00B179F1" w:rsidRPr="00C115DA" w:rsidRDefault="00B179F1" w:rsidP="00B179F1">
      <w:r w:rsidRPr="00C115DA">
        <w:t>Návrh geometrických parametrů kolejí respektuje stávající polohu světelných návěstidel</w:t>
      </w:r>
      <w:r w:rsidR="006F3EE0" w:rsidRPr="00C115DA">
        <w:t xml:space="preserve"> </w:t>
      </w:r>
      <w:r w:rsidR="009D2773" w:rsidRPr="00C115DA">
        <w:t>a</w:t>
      </w:r>
      <w:r w:rsidR="006F3EE0" w:rsidRPr="00C115DA">
        <w:t xml:space="preserve"> z titulu</w:t>
      </w:r>
      <w:r w:rsidR="009D2773" w:rsidRPr="00C115DA">
        <w:t xml:space="preserve"> prostorové průchodnosti měnit.</w:t>
      </w:r>
    </w:p>
    <w:p w:rsidR="00783C29" w:rsidRPr="00C115DA" w:rsidRDefault="00783C29" w:rsidP="00B179F1">
      <w:r w:rsidRPr="00C115DA">
        <w:t>V následující tabulce jsou uvedeny posuny kolejí v místě světelných návěstidel pro případné posouzení změny prostorové průchodnosti v jejich místě:</w:t>
      </w:r>
    </w:p>
    <w:p w:rsidR="0001618E" w:rsidRDefault="0001618E" w:rsidP="00B179F1"/>
    <w:p w:rsidR="0001618E" w:rsidRPr="00C115DA" w:rsidRDefault="00C115DA" w:rsidP="00F91A86">
      <w:r w:rsidRPr="00C115DA">
        <w:t>Jižní zhlaví:</w:t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7"/>
        <w:gridCol w:w="1320"/>
        <w:gridCol w:w="2400"/>
        <w:gridCol w:w="1831"/>
        <w:gridCol w:w="1984"/>
      </w:tblGrid>
      <w:tr w:rsidR="00D86AD6" w:rsidRPr="00D86AD6" w:rsidTr="00C115DA">
        <w:trPr>
          <w:trHeight w:val="1200"/>
        </w:trPr>
        <w:tc>
          <w:tcPr>
            <w:tcW w:w="1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návěstidlo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kolej č.</w:t>
            </w:r>
          </w:p>
        </w:tc>
        <w:tc>
          <w:tcPr>
            <w:tcW w:w="24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příčný posun koleje</w:t>
            </w:r>
          </w:p>
        </w:tc>
        <w:tc>
          <w:tcPr>
            <w:tcW w:w="183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Vzdálenost stávající osy kol. k hraně návěstidla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poznámka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L200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200</w:t>
            </w:r>
          </w:p>
        </w:tc>
        <w:tc>
          <w:tcPr>
            <w:tcW w:w="2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0.039 m k návěstidlu</w:t>
            </w:r>
          </w:p>
        </w:tc>
        <w:tc>
          <w:tcPr>
            <w:tcW w:w="183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2.22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0,082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0.084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0,053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0.040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0.095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0,083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0,014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208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0,104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0,018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210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0.018 m k návěstidlu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0.022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0,040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0.084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0,084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0.094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0,064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01618E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0,033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01618E">
        <w:trPr>
          <w:trHeight w:val="30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218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0.022 m k návěstidlu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01618E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0.031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01618E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220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1.85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návěstidlo nezaměřeno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2.17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0.132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0,008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0,020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640DFD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0,006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640DFD">
        <w:trPr>
          <w:trHeight w:val="30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226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0.006 m k návěstidlu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228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0,041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0,052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0.020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290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0.044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Se218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0.316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Se219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0.245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290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0,580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Se220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238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0,013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0,017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Se221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0.017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Se222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90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0.305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Se223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90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0,305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210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0.001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F91A86" w:rsidRPr="00D86AD6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1A86" w:rsidRPr="00D86AD6" w:rsidRDefault="00F91A8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Se224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A86" w:rsidRPr="00D86AD6" w:rsidRDefault="00F91A8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201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A86" w:rsidRPr="00D86AD6" w:rsidRDefault="00F91A8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0,114 m k 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1A86" w:rsidRPr="00D86AD6" w:rsidRDefault="00F91A86" w:rsidP="00F91A8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2,183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91A86" w:rsidRPr="00D86AD6" w:rsidRDefault="00F91A8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L210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106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0,019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106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0,006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106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0,005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D86AD6" w:rsidRPr="00D86AD6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Se113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106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D86AD6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0,021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AD6" w:rsidRPr="00D86AD6" w:rsidRDefault="00D86AD6" w:rsidP="00D86AD6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D86AD6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</w:tbl>
    <w:p w:rsidR="00C115DA" w:rsidRDefault="00C115DA" w:rsidP="005C7F50">
      <w:pPr>
        <w:ind w:firstLine="0"/>
      </w:pPr>
    </w:p>
    <w:p w:rsidR="00C115DA" w:rsidRPr="00C115DA" w:rsidRDefault="00C115DA" w:rsidP="00B179F1">
      <w:r w:rsidRPr="00C115DA">
        <w:t>Severní zhlaví:</w:t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7"/>
        <w:gridCol w:w="1320"/>
        <w:gridCol w:w="2400"/>
        <w:gridCol w:w="1831"/>
        <w:gridCol w:w="1984"/>
      </w:tblGrid>
      <w:tr w:rsidR="00C115DA" w:rsidRPr="00C115DA" w:rsidTr="00C115DA">
        <w:trPr>
          <w:trHeight w:val="1500"/>
        </w:trPr>
        <w:tc>
          <w:tcPr>
            <w:tcW w:w="1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návěstidlo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kolej č.</w:t>
            </w:r>
          </w:p>
        </w:tc>
        <w:tc>
          <w:tcPr>
            <w:tcW w:w="24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příčný posun koleje</w:t>
            </w:r>
          </w:p>
        </w:tc>
        <w:tc>
          <w:tcPr>
            <w:tcW w:w="183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změřená vzdálenost stávající osy kol. k hraně návěstidla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poznámka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Sc200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200</w:t>
            </w:r>
          </w:p>
        </w:tc>
        <w:tc>
          <w:tcPr>
            <w:tcW w:w="2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0.030 m k návěstidlu</w:t>
            </w:r>
          </w:p>
        </w:tc>
        <w:tc>
          <w:tcPr>
            <w:tcW w:w="183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2.27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0.030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0.034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202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0.078 m od návěstidla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0.003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0.017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0.085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01618E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0.017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01618E">
        <w:trPr>
          <w:trHeight w:val="30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208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0.009 m od návěstidla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0.037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0.036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0.006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lastRenderedPageBreak/>
              <w:t>Sc214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0.013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0.002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640DFD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0.001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640DFD">
        <w:trPr>
          <w:trHeight w:val="30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216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0.037 m k návěstidlu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0.041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0.028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0.024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2.35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0.021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0.018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0.005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0.014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0.015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0.013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0.026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0.001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Sc230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0.038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Se210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0.002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Se209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220Y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0.011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3.42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215Y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0.107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Se204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204X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0.027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4.7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204Y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Se203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Se202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0.056 m k návěstidlu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77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Se201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77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0.002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3.19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Se84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Se83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0,021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3.66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77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0.002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2.56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5DA" w:rsidRPr="00C115DA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Lc18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0,008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5DA" w:rsidRPr="00C115DA" w:rsidRDefault="00C115DA" w:rsidP="00C115D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3.59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115DA" w:rsidRPr="00C115DA" w:rsidRDefault="00C115DA" w:rsidP="00C115DA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5DA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</w:tbl>
    <w:p w:rsidR="00C115DA" w:rsidRPr="0068020A" w:rsidRDefault="00C115DA" w:rsidP="00B179F1">
      <w:pPr>
        <w:rPr>
          <w:highlight w:val="yellow"/>
        </w:rPr>
      </w:pPr>
    </w:p>
    <w:p w:rsidR="00F02050" w:rsidRPr="005C7F50" w:rsidRDefault="00F02050" w:rsidP="000F5CEA">
      <w:pPr>
        <w:pStyle w:val="Nadpis1"/>
      </w:pPr>
      <w:bookmarkStart w:id="21" w:name="_Toc94621541"/>
      <w:r w:rsidRPr="005C7F50">
        <w:t>Závěr</w:t>
      </w:r>
      <w:bookmarkEnd w:id="21"/>
    </w:p>
    <w:p w:rsidR="001A771D" w:rsidRPr="005C7F50" w:rsidRDefault="001A771D" w:rsidP="001A771D">
      <w:r w:rsidRPr="005C7F50">
        <w:t>Tato dokumentace řeší geometrické parametry koleje</w:t>
      </w:r>
      <w:r w:rsidR="00B179F1" w:rsidRPr="005C7F50">
        <w:t xml:space="preserve"> </w:t>
      </w:r>
      <w:r w:rsidR="003E4C8B" w:rsidRPr="005C7F50">
        <w:t xml:space="preserve">pro stavbu „Oprava </w:t>
      </w:r>
      <w:r w:rsidR="005C7F50" w:rsidRPr="005C7F50">
        <w:t>výhybek – žst. Přerov přednádraží</w:t>
      </w:r>
      <w:r w:rsidR="003E4C8B" w:rsidRPr="005C7F50">
        <w:t>“</w:t>
      </w:r>
      <w:r w:rsidRPr="005C7F50">
        <w:t xml:space="preserve">. Dokumentace byla projednána a odsouhlasena Správou tratí </w:t>
      </w:r>
      <w:r w:rsidR="008354F6" w:rsidRPr="005C7F50">
        <w:t>Olomouc</w:t>
      </w:r>
      <w:r w:rsidRPr="005C7F50">
        <w:t>.</w:t>
      </w:r>
    </w:p>
    <w:p w:rsidR="001A771D" w:rsidRPr="005C7F50" w:rsidRDefault="001A771D" w:rsidP="003E4C8B">
      <w:r w:rsidRPr="005C7F50">
        <w:t xml:space="preserve">Další rozpracování projektu je v kompetenci Správy tratí </w:t>
      </w:r>
      <w:r w:rsidR="008354F6" w:rsidRPr="005C7F50">
        <w:t>Olomouc</w:t>
      </w:r>
      <w:r w:rsidRPr="005C7F50">
        <w:t xml:space="preserve">. Je třeba především dořešit </w:t>
      </w:r>
      <w:r w:rsidR="00B179F1" w:rsidRPr="005C7F50">
        <w:t xml:space="preserve">konstrukční uspořádání železničního svršku, zřízení bezstykové koleje, </w:t>
      </w:r>
      <w:r w:rsidRPr="005C7F50">
        <w:t>konstrukční uspořádání žele</w:t>
      </w:r>
      <w:r w:rsidR="00397CF1" w:rsidRPr="005C7F50">
        <w:t xml:space="preserve">zničního spodku, </w:t>
      </w:r>
      <w:r w:rsidR="008354F6" w:rsidRPr="005C7F50">
        <w:t xml:space="preserve">úpravy nástupišť, </w:t>
      </w:r>
      <w:r w:rsidR="003E4C8B" w:rsidRPr="005C7F50">
        <w:t xml:space="preserve">úpravy trakčního vedení, úpravy zabezpečovacího zařízení, </w:t>
      </w:r>
      <w:r w:rsidR="00397CF1" w:rsidRPr="005C7F50">
        <w:t>izolaci kolejí</w:t>
      </w:r>
      <w:r w:rsidR="00B47D9B" w:rsidRPr="005C7F50">
        <w:t>,</w:t>
      </w:r>
      <w:r w:rsidRPr="005C7F50">
        <w:t xml:space="preserve"> </w:t>
      </w:r>
      <w:r w:rsidR="00AB579A" w:rsidRPr="005C7F50">
        <w:t>výkaz výměr,</w:t>
      </w:r>
      <w:r w:rsidRPr="005C7F50">
        <w:t xml:space="preserve"> rozpočet stavby</w:t>
      </w:r>
      <w:r w:rsidR="00AB579A" w:rsidRPr="005C7F50">
        <w:t xml:space="preserve"> a </w:t>
      </w:r>
      <w:r w:rsidRPr="005C7F50">
        <w:t>organizaci výstavby</w:t>
      </w:r>
      <w:r w:rsidR="00AB579A" w:rsidRPr="005C7F50">
        <w:t>.</w:t>
      </w:r>
    </w:p>
    <w:p w:rsidR="00B179F1" w:rsidRPr="0068020A" w:rsidRDefault="00B179F1" w:rsidP="00B179F1">
      <w:pPr>
        <w:rPr>
          <w:highlight w:val="yellow"/>
        </w:rPr>
      </w:pPr>
    </w:p>
    <w:p w:rsidR="001A771D" w:rsidRPr="0068020A" w:rsidRDefault="001A771D" w:rsidP="000E5BD7">
      <w:pPr>
        <w:rPr>
          <w:highlight w:val="yellow"/>
        </w:rPr>
      </w:pPr>
      <w:r w:rsidRPr="0068020A">
        <w:rPr>
          <w:noProof/>
          <w:highlight w:val="yellow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E41E0" wp14:editId="61620DD5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6CA6" w:rsidRDefault="00ED6CA6" w:rsidP="005C7F50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Lenka Kreuzigerová</w:t>
                            </w:r>
                          </w:p>
                          <w:p w:rsidR="00ED6CA6" w:rsidRDefault="00ED6CA6" w:rsidP="005C7F50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 Václavkova 169/1</w:t>
                            </w:r>
                          </w:p>
                          <w:p w:rsidR="00ED6CA6" w:rsidRDefault="00ED6CA6" w:rsidP="005C7F50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160 00 Praha</w:t>
                            </w:r>
                          </w:p>
                          <w:p w:rsidR="00ED6CA6" w:rsidRDefault="00ED6CA6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E41E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5pt;margin-top:21.8pt;width:193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MGkgIAAI8FAAAOAAAAZHJzL2Uyb0RvYy54bWysVM1uEzEQviPxDpbvdJMlLW3UTRVSFSFV&#10;bUWKena8dmJhe4ztZDe8Ec/BizH2bn4ovRRx2R17vpnxfPNzedUaTTbCBwW2osOTASXCcqiVXVb0&#10;6+PNu3NKQmS2ZhqsqOhWBHo1efvmsnFjUcIKdC08QSc2jBtX0VWMblwUga+EYeEEnLColOANi3j0&#10;y6L2rEHvRhflYHBWNOBr54GLEPD2ulPSSfYvpeDxXsogItEVxbfF/PX5u0jfYnLJxkvP3Erx/hns&#10;H15hmLIYdO/qmkVG1l795coo7iGAjCccTAFSKi5yDpjNcPAsm/mKOZFzQXKC29MU/p9bfrd58ETV&#10;FS0pscxgiR5FG2Hz6ydxoAUpE0WNC2NEzh1iY/sRWiz17j7gZcq8ld6kP+ZEUI9kb/cEo0fC8bIc&#10;nX4YnaKKo+58cHFWniY3xcHa+RA/CTAkCRX1WMDMK9vchthBd5AULIBW9Y3SOh9S04iZ9mTDsNw6&#10;5jei8z9Q2pKmomfv8RnJyEIy7zxrm25Ebps+XMq8yzBLcatFwmj7RUikLSf6QmzGubD7+BmdUBJD&#10;vcawxx9e9RrjLg+0yJHBxr2xURZ8zj7P2YGy+tuOMtnhsTZHeScxtou274gF1FtsCA/dVAXHbxRW&#10;7ZaF+MA8jhEWGldDvMeP1ICsQy9RsgL/46X7hMfuRi0lDY5lRcP3NfOCEv3ZYt9fDEejNMf5gN1U&#10;4sEfaxbHGrs2M8BWGOIScjyLCR/1TpQezBNukGmKiipmOcauaNyJs9gtC9xAXEynGYST61i8tXPH&#10;k+tEb+rJx/aJedc3bsSWv4PdALPxs/7tsMnSwnQdQarc3IngjtWeeJz6PB79hkpr5ficUYc9OvkN&#10;AAD//wMAUEsDBBQABgAIAAAAIQAAKfV84QAAAAoBAAAPAAAAZHJzL2Rvd25yZXYueG1sTI9NT4NA&#10;EIbvJv6HzZh4MXZBpK3I0hjjR+LN0mq8bdkRiOwsYbeA/97xpMeZefLO8+ab2XZixMG3jhTEiwgE&#10;UuVMS7WCXfl4uQbhgyajO0eo4Bs9bIrTk1xnxk30iuM21IJDyGdaQRNCn0npqwat9gvXI/Ht0w1W&#10;Bx6HWppBTxxuO3kVRUtpdUv8odE93jdYfW2PVsHHRf3+4uen/ZSkSf/wPJarN1MqdX42392CCDiH&#10;Pxh+9VkdCnY6uCMZLzoFaRonjCq4TpYgGLhJ1rw4MLmKY5BFLv9XKH4AAAD//wMAUEsBAi0AFAAG&#10;AAgAAAAhALaDOJL+AAAA4QEAABMAAAAAAAAAAAAAAAAAAAAAAFtDb250ZW50X1R5cGVzXS54bWxQ&#10;SwECLQAUAAYACAAAACEAOP0h/9YAAACUAQAACwAAAAAAAAAAAAAAAAAvAQAAX3JlbHMvLnJlbHNQ&#10;SwECLQAUAAYACAAAACEAvjljBpICAACPBQAADgAAAAAAAAAAAAAAAAAuAgAAZHJzL2Uyb0RvYy54&#10;bWxQSwECLQAUAAYACAAAACEAACn1fOEAAAAKAQAADwAAAAAAAAAAAAAAAADsBAAAZHJzL2Rvd25y&#10;ZXYueG1sUEsFBgAAAAAEAAQA8wAAAPoFAAAAAA==&#10;" fillcolor="white [3201]" stroked="f" strokeweight=".5pt">
                <v:textbox>
                  <w:txbxContent>
                    <w:p w:rsidR="00ED6CA6" w:rsidRDefault="00ED6CA6" w:rsidP="005C7F50">
                      <w:pPr>
                        <w:spacing w:after="0"/>
                        <w:ind w:firstLine="0"/>
                        <w:jc w:val="center"/>
                      </w:pPr>
                      <w:r>
                        <w:t>Ing. Lenka Kreuzigerová</w:t>
                      </w:r>
                    </w:p>
                    <w:p w:rsidR="00ED6CA6" w:rsidRDefault="00ED6CA6" w:rsidP="005C7F50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 Václavkova 169/1</w:t>
                      </w:r>
                    </w:p>
                    <w:p w:rsidR="00ED6CA6" w:rsidRDefault="00ED6CA6" w:rsidP="005C7F50">
                      <w:pPr>
                        <w:spacing w:after="0"/>
                        <w:ind w:firstLine="0"/>
                        <w:jc w:val="center"/>
                      </w:pPr>
                      <w:r>
                        <w:t>160 00 Praha</w:t>
                      </w:r>
                    </w:p>
                    <w:p w:rsidR="00ED6CA6" w:rsidRDefault="00ED6CA6" w:rsidP="007E156D">
                      <w:pPr>
                        <w:spacing w:after="0"/>
                        <w:ind w:firstLin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E156D" w:rsidRPr="005C7F50" w:rsidRDefault="000E5BD7" w:rsidP="007E156D">
      <w:pPr>
        <w:spacing w:after="0"/>
      </w:pPr>
      <w:r w:rsidRPr="005C7F50">
        <w:t>Vypracoval</w:t>
      </w:r>
      <w:r w:rsidR="005C7F50" w:rsidRPr="005C7F50">
        <w:t>a</w:t>
      </w:r>
      <w:r w:rsidR="007E156D" w:rsidRPr="005C7F50">
        <w:t>:</w:t>
      </w:r>
    </w:p>
    <w:p w:rsidR="00D84429" w:rsidRPr="00640DFD" w:rsidRDefault="00D84429" w:rsidP="00640DFD">
      <w:pPr>
        <w:ind w:firstLine="0"/>
        <w:rPr>
          <w:highlight w:val="yellow"/>
        </w:rPr>
      </w:pPr>
    </w:p>
    <w:sectPr w:rsidR="00D84429" w:rsidRPr="00640DFD" w:rsidSect="00C115DA">
      <w:headerReference w:type="default" r:id="rId8"/>
      <w:footerReference w:type="default" r:id="rId9"/>
      <w:pgSz w:w="11906" w:h="16838"/>
      <w:pgMar w:top="141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A3" w:rsidRDefault="00E92EA3" w:rsidP="002222CD">
      <w:pPr>
        <w:spacing w:after="0"/>
      </w:pPr>
      <w:r>
        <w:separator/>
      </w:r>
    </w:p>
  </w:endnote>
  <w:endnote w:type="continuationSeparator" w:id="0">
    <w:p w:rsidR="00E92EA3" w:rsidRDefault="00E92EA3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CA6" w:rsidRDefault="00ED6CA6">
    <w:pPr>
      <w:pStyle w:val="Zpat"/>
      <w:jc w:val="right"/>
    </w:pPr>
    <w:r>
      <w:t xml:space="preserve">str. </w:t>
    </w:r>
    <w:sdt>
      <w:sdtPr>
        <w:id w:val="-202392344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372A0">
          <w:rPr>
            <w:noProof/>
          </w:rP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A3" w:rsidRDefault="00E92EA3" w:rsidP="002222CD">
      <w:pPr>
        <w:spacing w:after="0"/>
      </w:pPr>
      <w:r>
        <w:separator/>
      </w:r>
    </w:p>
  </w:footnote>
  <w:footnote w:type="continuationSeparator" w:id="0">
    <w:p w:rsidR="00E92EA3" w:rsidRDefault="00E92EA3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CA6" w:rsidRPr="006E5C4E" w:rsidRDefault="00ED6CA6" w:rsidP="00AB0360">
    <w:pPr>
      <w:spacing w:after="0"/>
      <w:ind w:left="2829" w:hanging="2829"/>
      <w:jc w:val="center"/>
      <w:rPr>
        <w:sz w:val="20"/>
        <w:szCs w:val="20"/>
      </w:rPr>
    </w:pPr>
    <w:r>
      <w:rPr>
        <w:sz w:val="20"/>
        <w:szCs w:val="20"/>
      </w:rPr>
      <w:t>Oprava výhybek – žst. Přerov přednádraží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5D33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964CA4"/>
    <w:multiLevelType w:val="hybridMultilevel"/>
    <w:tmpl w:val="D77EA70E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AD4748"/>
    <w:multiLevelType w:val="hybridMultilevel"/>
    <w:tmpl w:val="96387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E107CB"/>
    <w:multiLevelType w:val="hybridMultilevel"/>
    <w:tmpl w:val="5DD420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46C7F"/>
    <w:multiLevelType w:val="hybridMultilevel"/>
    <w:tmpl w:val="3984D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F321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D751D8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D7E772F"/>
    <w:multiLevelType w:val="hybridMultilevel"/>
    <w:tmpl w:val="B246B2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D61041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5B6D5E"/>
    <w:multiLevelType w:val="hybridMultilevel"/>
    <w:tmpl w:val="D430C076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34C094D"/>
    <w:multiLevelType w:val="hybridMultilevel"/>
    <w:tmpl w:val="C88EA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11"/>
  </w:num>
  <w:num w:numId="5">
    <w:abstractNumId w:val="23"/>
  </w:num>
  <w:num w:numId="6">
    <w:abstractNumId w:val="4"/>
  </w:num>
  <w:num w:numId="7">
    <w:abstractNumId w:val="16"/>
  </w:num>
  <w:num w:numId="8">
    <w:abstractNumId w:val="22"/>
  </w:num>
  <w:num w:numId="9">
    <w:abstractNumId w:val="12"/>
  </w:num>
  <w:num w:numId="10">
    <w:abstractNumId w:val="9"/>
  </w:num>
  <w:num w:numId="11">
    <w:abstractNumId w:val="2"/>
  </w:num>
  <w:num w:numId="12">
    <w:abstractNumId w:val="18"/>
  </w:num>
  <w:num w:numId="13">
    <w:abstractNumId w:val="8"/>
  </w:num>
  <w:num w:numId="14">
    <w:abstractNumId w:val="17"/>
  </w:num>
  <w:num w:numId="15">
    <w:abstractNumId w:val="13"/>
  </w:num>
  <w:num w:numId="16">
    <w:abstractNumId w:val="10"/>
  </w:num>
  <w:num w:numId="17">
    <w:abstractNumId w:val="3"/>
  </w:num>
  <w:num w:numId="18">
    <w:abstractNumId w:val="6"/>
  </w:num>
  <w:num w:numId="19">
    <w:abstractNumId w:val="1"/>
  </w:num>
  <w:num w:numId="20">
    <w:abstractNumId w:val="5"/>
  </w:num>
  <w:num w:numId="21">
    <w:abstractNumId w:val="14"/>
  </w:num>
  <w:num w:numId="22">
    <w:abstractNumId w:val="21"/>
  </w:num>
  <w:num w:numId="23">
    <w:abstractNumId w:val="15"/>
  </w:num>
  <w:num w:numId="24">
    <w:abstractNumId w:val="20"/>
  </w:num>
  <w:num w:numId="25">
    <w:abstractNumId w:val="10"/>
  </w:num>
  <w:num w:numId="26">
    <w:abstractNumId w:val="0"/>
  </w:num>
  <w:num w:numId="27">
    <w:abstractNumId w:val="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D"/>
    <w:rsid w:val="00001248"/>
    <w:rsid w:val="0001340E"/>
    <w:rsid w:val="0001618E"/>
    <w:rsid w:val="00021DA1"/>
    <w:rsid w:val="00023F96"/>
    <w:rsid w:val="0002570A"/>
    <w:rsid w:val="00027CB8"/>
    <w:rsid w:val="00027E53"/>
    <w:rsid w:val="000340E8"/>
    <w:rsid w:val="00034CF2"/>
    <w:rsid w:val="00034FC5"/>
    <w:rsid w:val="000371BD"/>
    <w:rsid w:val="00037433"/>
    <w:rsid w:val="00040028"/>
    <w:rsid w:val="0004164B"/>
    <w:rsid w:val="000420E7"/>
    <w:rsid w:val="000424D5"/>
    <w:rsid w:val="000429DA"/>
    <w:rsid w:val="00042F12"/>
    <w:rsid w:val="00044811"/>
    <w:rsid w:val="0006157A"/>
    <w:rsid w:val="000627D0"/>
    <w:rsid w:val="000707E3"/>
    <w:rsid w:val="00070ECB"/>
    <w:rsid w:val="0007357E"/>
    <w:rsid w:val="00077753"/>
    <w:rsid w:val="000777AC"/>
    <w:rsid w:val="00077976"/>
    <w:rsid w:val="000908E7"/>
    <w:rsid w:val="00091FB0"/>
    <w:rsid w:val="000920B5"/>
    <w:rsid w:val="000932E5"/>
    <w:rsid w:val="00094A37"/>
    <w:rsid w:val="00095197"/>
    <w:rsid w:val="0009673C"/>
    <w:rsid w:val="00097EBE"/>
    <w:rsid w:val="000A149B"/>
    <w:rsid w:val="000A1CF4"/>
    <w:rsid w:val="000A3970"/>
    <w:rsid w:val="000A63E8"/>
    <w:rsid w:val="000A6497"/>
    <w:rsid w:val="000A7B5B"/>
    <w:rsid w:val="000B39B9"/>
    <w:rsid w:val="000B4E0D"/>
    <w:rsid w:val="000B5F90"/>
    <w:rsid w:val="000B63E5"/>
    <w:rsid w:val="000B6B22"/>
    <w:rsid w:val="000C67B5"/>
    <w:rsid w:val="000C6ECD"/>
    <w:rsid w:val="000C7C2C"/>
    <w:rsid w:val="000D0358"/>
    <w:rsid w:val="000D4269"/>
    <w:rsid w:val="000D4B34"/>
    <w:rsid w:val="000D7A80"/>
    <w:rsid w:val="000E1EC3"/>
    <w:rsid w:val="000E26D4"/>
    <w:rsid w:val="000E31E1"/>
    <w:rsid w:val="000E5BD7"/>
    <w:rsid w:val="000F2971"/>
    <w:rsid w:val="000F4A35"/>
    <w:rsid w:val="000F5CEA"/>
    <w:rsid w:val="00100574"/>
    <w:rsid w:val="001017A4"/>
    <w:rsid w:val="00102258"/>
    <w:rsid w:val="001078AF"/>
    <w:rsid w:val="00111C47"/>
    <w:rsid w:val="00112F1B"/>
    <w:rsid w:val="00112F39"/>
    <w:rsid w:val="0011389D"/>
    <w:rsid w:val="00114217"/>
    <w:rsid w:val="00115882"/>
    <w:rsid w:val="00123F1D"/>
    <w:rsid w:val="001276E2"/>
    <w:rsid w:val="00134219"/>
    <w:rsid w:val="0013444F"/>
    <w:rsid w:val="00134F34"/>
    <w:rsid w:val="00141446"/>
    <w:rsid w:val="00142895"/>
    <w:rsid w:val="001473E9"/>
    <w:rsid w:val="0015420B"/>
    <w:rsid w:val="001641D6"/>
    <w:rsid w:val="00167874"/>
    <w:rsid w:val="00170DF6"/>
    <w:rsid w:val="00171EDD"/>
    <w:rsid w:val="00176448"/>
    <w:rsid w:val="00181798"/>
    <w:rsid w:val="0018286F"/>
    <w:rsid w:val="00183029"/>
    <w:rsid w:val="001861EC"/>
    <w:rsid w:val="00191A07"/>
    <w:rsid w:val="00194C76"/>
    <w:rsid w:val="00195CB6"/>
    <w:rsid w:val="00197ECA"/>
    <w:rsid w:val="001A746C"/>
    <w:rsid w:val="001A771D"/>
    <w:rsid w:val="001B69A0"/>
    <w:rsid w:val="001B781F"/>
    <w:rsid w:val="001C0533"/>
    <w:rsid w:val="001C2EE5"/>
    <w:rsid w:val="001C3A7D"/>
    <w:rsid w:val="001C6561"/>
    <w:rsid w:val="001D3D3C"/>
    <w:rsid w:val="001D4AB7"/>
    <w:rsid w:val="001D6722"/>
    <w:rsid w:val="001E05C9"/>
    <w:rsid w:val="001E27FC"/>
    <w:rsid w:val="001E2DA0"/>
    <w:rsid w:val="001E4267"/>
    <w:rsid w:val="001E5D6B"/>
    <w:rsid w:val="001F15BC"/>
    <w:rsid w:val="001F2DD8"/>
    <w:rsid w:val="001F3DB9"/>
    <w:rsid w:val="001F63D0"/>
    <w:rsid w:val="0020005D"/>
    <w:rsid w:val="002006E9"/>
    <w:rsid w:val="002021B4"/>
    <w:rsid w:val="00206880"/>
    <w:rsid w:val="00210DE9"/>
    <w:rsid w:val="00210EF0"/>
    <w:rsid w:val="002110A2"/>
    <w:rsid w:val="0021283F"/>
    <w:rsid w:val="00212DBE"/>
    <w:rsid w:val="002157EF"/>
    <w:rsid w:val="002169B7"/>
    <w:rsid w:val="00216D70"/>
    <w:rsid w:val="00221C31"/>
    <w:rsid w:val="002222CD"/>
    <w:rsid w:val="00223E7D"/>
    <w:rsid w:val="00230CB5"/>
    <w:rsid w:val="00234370"/>
    <w:rsid w:val="0023681D"/>
    <w:rsid w:val="00242228"/>
    <w:rsid w:val="00244AE1"/>
    <w:rsid w:val="00245A25"/>
    <w:rsid w:val="002461BF"/>
    <w:rsid w:val="00250FB1"/>
    <w:rsid w:val="002519FD"/>
    <w:rsid w:val="00254135"/>
    <w:rsid w:val="00256DBF"/>
    <w:rsid w:val="00262BA1"/>
    <w:rsid w:val="002652EA"/>
    <w:rsid w:val="00270B27"/>
    <w:rsid w:val="00270F01"/>
    <w:rsid w:val="0027287F"/>
    <w:rsid w:val="00274DDA"/>
    <w:rsid w:val="00276B50"/>
    <w:rsid w:val="0028317F"/>
    <w:rsid w:val="0028793B"/>
    <w:rsid w:val="00290160"/>
    <w:rsid w:val="00290594"/>
    <w:rsid w:val="00290828"/>
    <w:rsid w:val="0029242E"/>
    <w:rsid w:val="002952DE"/>
    <w:rsid w:val="00295CA5"/>
    <w:rsid w:val="00297B22"/>
    <w:rsid w:val="00297D52"/>
    <w:rsid w:val="002A2CCC"/>
    <w:rsid w:val="002B06A6"/>
    <w:rsid w:val="002B13FD"/>
    <w:rsid w:val="002B263B"/>
    <w:rsid w:val="002B7B59"/>
    <w:rsid w:val="002C0C1D"/>
    <w:rsid w:val="002C1522"/>
    <w:rsid w:val="002C1EAF"/>
    <w:rsid w:val="002C214F"/>
    <w:rsid w:val="002C57B1"/>
    <w:rsid w:val="002D088C"/>
    <w:rsid w:val="002D2B32"/>
    <w:rsid w:val="002D59FB"/>
    <w:rsid w:val="002D65C4"/>
    <w:rsid w:val="002D67B2"/>
    <w:rsid w:val="002D74D4"/>
    <w:rsid w:val="002E12DB"/>
    <w:rsid w:val="002E38A5"/>
    <w:rsid w:val="002E424C"/>
    <w:rsid w:val="002F0691"/>
    <w:rsid w:val="002F110D"/>
    <w:rsid w:val="00301D5C"/>
    <w:rsid w:val="00302B97"/>
    <w:rsid w:val="003063CB"/>
    <w:rsid w:val="00316748"/>
    <w:rsid w:val="00316E36"/>
    <w:rsid w:val="003179E0"/>
    <w:rsid w:val="00317D3B"/>
    <w:rsid w:val="003206C2"/>
    <w:rsid w:val="00321231"/>
    <w:rsid w:val="00322EC9"/>
    <w:rsid w:val="003244B9"/>
    <w:rsid w:val="003272DC"/>
    <w:rsid w:val="00327A59"/>
    <w:rsid w:val="00327B6F"/>
    <w:rsid w:val="00327F1D"/>
    <w:rsid w:val="00330FA2"/>
    <w:rsid w:val="003316D7"/>
    <w:rsid w:val="003322AF"/>
    <w:rsid w:val="0033265C"/>
    <w:rsid w:val="0033668B"/>
    <w:rsid w:val="00340A14"/>
    <w:rsid w:val="00340A84"/>
    <w:rsid w:val="00344C9B"/>
    <w:rsid w:val="00350763"/>
    <w:rsid w:val="00353112"/>
    <w:rsid w:val="00356015"/>
    <w:rsid w:val="00356626"/>
    <w:rsid w:val="00356CEE"/>
    <w:rsid w:val="003658C6"/>
    <w:rsid w:val="00367FD0"/>
    <w:rsid w:val="003713AD"/>
    <w:rsid w:val="00376DC8"/>
    <w:rsid w:val="00377E40"/>
    <w:rsid w:val="00380AF4"/>
    <w:rsid w:val="00381720"/>
    <w:rsid w:val="0038235D"/>
    <w:rsid w:val="00383314"/>
    <w:rsid w:val="0039697F"/>
    <w:rsid w:val="003972D5"/>
    <w:rsid w:val="00397CF1"/>
    <w:rsid w:val="003A2537"/>
    <w:rsid w:val="003A2A52"/>
    <w:rsid w:val="003A49BC"/>
    <w:rsid w:val="003A52E6"/>
    <w:rsid w:val="003A6325"/>
    <w:rsid w:val="003A6C24"/>
    <w:rsid w:val="003B08C3"/>
    <w:rsid w:val="003B0DA3"/>
    <w:rsid w:val="003B2498"/>
    <w:rsid w:val="003B2F3B"/>
    <w:rsid w:val="003B3664"/>
    <w:rsid w:val="003B38D9"/>
    <w:rsid w:val="003B473E"/>
    <w:rsid w:val="003B490B"/>
    <w:rsid w:val="003B634F"/>
    <w:rsid w:val="003B7102"/>
    <w:rsid w:val="003B7331"/>
    <w:rsid w:val="003C56A5"/>
    <w:rsid w:val="003D2719"/>
    <w:rsid w:val="003D4F3C"/>
    <w:rsid w:val="003D6ACF"/>
    <w:rsid w:val="003D7BAB"/>
    <w:rsid w:val="003E2E86"/>
    <w:rsid w:val="003E4C8B"/>
    <w:rsid w:val="003F22AC"/>
    <w:rsid w:val="0040060C"/>
    <w:rsid w:val="0040104B"/>
    <w:rsid w:val="00404166"/>
    <w:rsid w:val="0040437D"/>
    <w:rsid w:val="00406B41"/>
    <w:rsid w:val="00407757"/>
    <w:rsid w:val="004100B0"/>
    <w:rsid w:val="00410D8F"/>
    <w:rsid w:val="00411E10"/>
    <w:rsid w:val="004140C0"/>
    <w:rsid w:val="00415D86"/>
    <w:rsid w:val="004164D0"/>
    <w:rsid w:val="00417C50"/>
    <w:rsid w:val="00422119"/>
    <w:rsid w:val="00422361"/>
    <w:rsid w:val="004257D2"/>
    <w:rsid w:val="0043073F"/>
    <w:rsid w:val="00431DD5"/>
    <w:rsid w:val="00435788"/>
    <w:rsid w:val="00436842"/>
    <w:rsid w:val="00441BD2"/>
    <w:rsid w:val="00441CA5"/>
    <w:rsid w:val="0044207B"/>
    <w:rsid w:val="00443490"/>
    <w:rsid w:val="00446361"/>
    <w:rsid w:val="00446966"/>
    <w:rsid w:val="004477D0"/>
    <w:rsid w:val="00450574"/>
    <w:rsid w:val="00450FBB"/>
    <w:rsid w:val="00461623"/>
    <w:rsid w:val="00462487"/>
    <w:rsid w:val="004640AC"/>
    <w:rsid w:val="00466E1E"/>
    <w:rsid w:val="004670ED"/>
    <w:rsid w:val="00473495"/>
    <w:rsid w:val="00473C5B"/>
    <w:rsid w:val="00476F96"/>
    <w:rsid w:val="00481F40"/>
    <w:rsid w:val="00485E1D"/>
    <w:rsid w:val="00486807"/>
    <w:rsid w:val="00486CAE"/>
    <w:rsid w:val="00487FC1"/>
    <w:rsid w:val="00491D55"/>
    <w:rsid w:val="004A0DCF"/>
    <w:rsid w:val="004B01D0"/>
    <w:rsid w:val="004B3563"/>
    <w:rsid w:val="004B6AD8"/>
    <w:rsid w:val="004B7DD8"/>
    <w:rsid w:val="004C1069"/>
    <w:rsid w:val="004C446E"/>
    <w:rsid w:val="004C57BD"/>
    <w:rsid w:val="004C6829"/>
    <w:rsid w:val="004D05A6"/>
    <w:rsid w:val="004E249C"/>
    <w:rsid w:val="004E3033"/>
    <w:rsid w:val="004E4EE0"/>
    <w:rsid w:val="004E615C"/>
    <w:rsid w:val="004E77F5"/>
    <w:rsid w:val="004F1665"/>
    <w:rsid w:val="004F1AC3"/>
    <w:rsid w:val="004F547D"/>
    <w:rsid w:val="004F6E22"/>
    <w:rsid w:val="00500CF3"/>
    <w:rsid w:val="005020A2"/>
    <w:rsid w:val="0051354C"/>
    <w:rsid w:val="0051371D"/>
    <w:rsid w:val="00517084"/>
    <w:rsid w:val="00521B63"/>
    <w:rsid w:val="00527960"/>
    <w:rsid w:val="00531B7B"/>
    <w:rsid w:val="00531E8F"/>
    <w:rsid w:val="0053452B"/>
    <w:rsid w:val="005371C0"/>
    <w:rsid w:val="00540195"/>
    <w:rsid w:val="00541996"/>
    <w:rsid w:val="005451C9"/>
    <w:rsid w:val="00550FD2"/>
    <w:rsid w:val="00551897"/>
    <w:rsid w:val="0055676F"/>
    <w:rsid w:val="005629FE"/>
    <w:rsid w:val="00565C0F"/>
    <w:rsid w:val="0056758F"/>
    <w:rsid w:val="005677A6"/>
    <w:rsid w:val="0057056B"/>
    <w:rsid w:val="00572256"/>
    <w:rsid w:val="00572560"/>
    <w:rsid w:val="00572630"/>
    <w:rsid w:val="00577517"/>
    <w:rsid w:val="0058073B"/>
    <w:rsid w:val="00580771"/>
    <w:rsid w:val="005835CC"/>
    <w:rsid w:val="00584F81"/>
    <w:rsid w:val="005864E1"/>
    <w:rsid w:val="00586BBA"/>
    <w:rsid w:val="005875CA"/>
    <w:rsid w:val="005955CB"/>
    <w:rsid w:val="005955DF"/>
    <w:rsid w:val="00595B86"/>
    <w:rsid w:val="00596108"/>
    <w:rsid w:val="00596AC5"/>
    <w:rsid w:val="00597F31"/>
    <w:rsid w:val="005A020C"/>
    <w:rsid w:val="005A3707"/>
    <w:rsid w:val="005A7C68"/>
    <w:rsid w:val="005B3861"/>
    <w:rsid w:val="005C054A"/>
    <w:rsid w:val="005C12EA"/>
    <w:rsid w:val="005C3A34"/>
    <w:rsid w:val="005C4E43"/>
    <w:rsid w:val="005C509A"/>
    <w:rsid w:val="005C6421"/>
    <w:rsid w:val="005C7222"/>
    <w:rsid w:val="005C7F50"/>
    <w:rsid w:val="005D0984"/>
    <w:rsid w:val="005D49C9"/>
    <w:rsid w:val="005E4059"/>
    <w:rsid w:val="005E45A0"/>
    <w:rsid w:val="005F1B05"/>
    <w:rsid w:val="005F7208"/>
    <w:rsid w:val="005F7C4F"/>
    <w:rsid w:val="006001FC"/>
    <w:rsid w:val="0060064A"/>
    <w:rsid w:val="0060247A"/>
    <w:rsid w:val="0060367D"/>
    <w:rsid w:val="006063DE"/>
    <w:rsid w:val="00607173"/>
    <w:rsid w:val="00610E23"/>
    <w:rsid w:val="00612260"/>
    <w:rsid w:val="006141B8"/>
    <w:rsid w:val="00617816"/>
    <w:rsid w:val="0062364C"/>
    <w:rsid w:val="00624AC5"/>
    <w:rsid w:val="00625A40"/>
    <w:rsid w:val="0062739C"/>
    <w:rsid w:val="00634AA4"/>
    <w:rsid w:val="00635A2F"/>
    <w:rsid w:val="00640DFD"/>
    <w:rsid w:val="00641DBC"/>
    <w:rsid w:val="006434D6"/>
    <w:rsid w:val="00645552"/>
    <w:rsid w:val="00662F3F"/>
    <w:rsid w:val="00667DF8"/>
    <w:rsid w:val="0067079E"/>
    <w:rsid w:val="006709AF"/>
    <w:rsid w:val="0068020A"/>
    <w:rsid w:val="00680ADD"/>
    <w:rsid w:val="006837D0"/>
    <w:rsid w:val="00687E40"/>
    <w:rsid w:val="00690A91"/>
    <w:rsid w:val="006920F5"/>
    <w:rsid w:val="00692856"/>
    <w:rsid w:val="006937F8"/>
    <w:rsid w:val="00694C36"/>
    <w:rsid w:val="006A0A49"/>
    <w:rsid w:val="006A7FD3"/>
    <w:rsid w:val="006B1511"/>
    <w:rsid w:val="006B2226"/>
    <w:rsid w:val="006B3AB2"/>
    <w:rsid w:val="006B4140"/>
    <w:rsid w:val="006B4FC4"/>
    <w:rsid w:val="006B527D"/>
    <w:rsid w:val="006B6155"/>
    <w:rsid w:val="006C5B01"/>
    <w:rsid w:val="006C6A91"/>
    <w:rsid w:val="006C779A"/>
    <w:rsid w:val="006D25E6"/>
    <w:rsid w:val="006D35BE"/>
    <w:rsid w:val="006D360B"/>
    <w:rsid w:val="006D4730"/>
    <w:rsid w:val="006D520B"/>
    <w:rsid w:val="006D61C3"/>
    <w:rsid w:val="006E160A"/>
    <w:rsid w:val="006E1796"/>
    <w:rsid w:val="006E5C4E"/>
    <w:rsid w:val="006E5E5E"/>
    <w:rsid w:val="006E6449"/>
    <w:rsid w:val="006E6B4F"/>
    <w:rsid w:val="006E7C05"/>
    <w:rsid w:val="006F0527"/>
    <w:rsid w:val="006F128D"/>
    <w:rsid w:val="006F2E54"/>
    <w:rsid w:val="006F3EE0"/>
    <w:rsid w:val="006F57F9"/>
    <w:rsid w:val="006F64D8"/>
    <w:rsid w:val="00701B61"/>
    <w:rsid w:val="00704BC6"/>
    <w:rsid w:val="00706C52"/>
    <w:rsid w:val="00706E75"/>
    <w:rsid w:val="0070744B"/>
    <w:rsid w:val="00707882"/>
    <w:rsid w:val="00712D49"/>
    <w:rsid w:val="007137E3"/>
    <w:rsid w:val="00716C92"/>
    <w:rsid w:val="00717946"/>
    <w:rsid w:val="0072329B"/>
    <w:rsid w:val="007248FF"/>
    <w:rsid w:val="007270DA"/>
    <w:rsid w:val="007279D3"/>
    <w:rsid w:val="00736362"/>
    <w:rsid w:val="0074063F"/>
    <w:rsid w:val="00751F07"/>
    <w:rsid w:val="00753BF4"/>
    <w:rsid w:val="007544F5"/>
    <w:rsid w:val="0076335C"/>
    <w:rsid w:val="00763D14"/>
    <w:rsid w:val="00765A63"/>
    <w:rsid w:val="00772A49"/>
    <w:rsid w:val="0077414D"/>
    <w:rsid w:val="00774B6E"/>
    <w:rsid w:val="0077698B"/>
    <w:rsid w:val="00782FDD"/>
    <w:rsid w:val="007838D8"/>
    <w:rsid w:val="00783C29"/>
    <w:rsid w:val="0078641B"/>
    <w:rsid w:val="0078669D"/>
    <w:rsid w:val="00790F9D"/>
    <w:rsid w:val="007951C2"/>
    <w:rsid w:val="007958AB"/>
    <w:rsid w:val="00797C0A"/>
    <w:rsid w:val="00797ED5"/>
    <w:rsid w:val="007A25A7"/>
    <w:rsid w:val="007A5E93"/>
    <w:rsid w:val="007A6E0F"/>
    <w:rsid w:val="007A793E"/>
    <w:rsid w:val="007B315B"/>
    <w:rsid w:val="007B49BF"/>
    <w:rsid w:val="007B4CA6"/>
    <w:rsid w:val="007B6FF4"/>
    <w:rsid w:val="007C0F61"/>
    <w:rsid w:val="007C15E9"/>
    <w:rsid w:val="007C2752"/>
    <w:rsid w:val="007C38C4"/>
    <w:rsid w:val="007C4C5D"/>
    <w:rsid w:val="007C5D20"/>
    <w:rsid w:val="007C6F89"/>
    <w:rsid w:val="007D1F1D"/>
    <w:rsid w:val="007D3ADC"/>
    <w:rsid w:val="007D3E1B"/>
    <w:rsid w:val="007D5B49"/>
    <w:rsid w:val="007D5E92"/>
    <w:rsid w:val="007E156D"/>
    <w:rsid w:val="007E2717"/>
    <w:rsid w:val="007E28BB"/>
    <w:rsid w:val="007E4B67"/>
    <w:rsid w:val="007E57E0"/>
    <w:rsid w:val="007E6E9D"/>
    <w:rsid w:val="007F163F"/>
    <w:rsid w:val="00801885"/>
    <w:rsid w:val="00801D0B"/>
    <w:rsid w:val="00802799"/>
    <w:rsid w:val="00803A1B"/>
    <w:rsid w:val="00803A2C"/>
    <w:rsid w:val="00806B3A"/>
    <w:rsid w:val="0080765A"/>
    <w:rsid w:val="00812586"/>
    <w:rsid w:val="008139CD"/>
    <w:rsid w:val="00813D7B"/>
    <w:rsid w:val="008174F3"/>
    <w:rsid w:val="00817623"/>
    <w:rsid w:val="008210FB"/>
    <w:rsid w:val="0082172F"/>
    <w:rsid w:val="008228C4"/>
    <w:rsid w:val="00827B08"/>
    <w:rsid w:val="00830B22"/>
    <w:rsid w:val="00832582"/>
    <w:rsid w:val="0083264A"/>
    <w:rsid w:val="008354F6"/>
    <w:rsid w:val="0083681B"/>
    <w:rsid w:val="00836CCD"/>
    <w:rsid w:val="008371FF"/>
    <w:rsid w:val="00837819"/>
    <w:rsid w:val="008402EC"/>
    <w:rsid w:val="00840BEE"/>
    <w:rsid w:val="008471CC"/>
    <w:rsid w:val="00847EBD"/>
    <w:rsid w:val="0085496B"/>
    <w:rsid w:val="008564A9"/>
    <w:rsid w:val="00857191"/>
    <w:rsid w:val="00864B51"/>
    <w:rsid w:val="0088241A"/>
    <w:rsid w:val="00896871"/>
    <w:rsid w:val="008B0C06"/>
    <w:rsid w:val="008B22E7"/>
    <w:rsid w:val="008B57EE"/>
    <w:rsid w:val="008C0F3A"/>
    <w:rsid w:val="008C1335"/>
    <w:rsid w:val="008C27CB"/>
    <w:rsid w:val="008C4DEE"/>
    <w:rsid w:val="008C5151"/>
    <w:rsid w:val="008C7BD7"/>
    <w:rsid w:val="008D5535"/>
    <w:rsid w:val="008D6F12"/>
    <w:rsid w:val="008D7FD5"/>
    <w:rsid w:val="008E2B01"/>
    <w:rsid w:val="008E3AC0"/>
    <w:rsid w:val="008E56F6"/>
    <w:rsid w:val="008E5B01"/>
    <w:rsid w:val="008E5D88"/>
    <w:rsid w:val="008F65E3"/>
    <w:rsid w:val="008F6CAD"/>
    <w:rsid w:val="00902E8C"/>
    <w:rsid w:val="009062A3"/>
    <w:rsid w:val="00906F83"/>
    <w:rsid w:val="00913ED9"/>
    <w:rsid w:val="00914621"/>
    <w:rsid w:val="00920212"/>
    <w:rsid w:val="009226AE"/>
    <w:rsid w:val="00923F5D"/>
    <w:rsid w:val="00925792"/>
    <w:rsid w:val="00925934"/>
    <w:rsid w:val="00925B3F"/>
    <w:rsid w:val="009331C1"/>
    <w:rsid w:val="009347BD"/>
    <w:rsid w:val="00936BA3"/>
    <w:rsid w:val="009372A0"/>
    <w:rsid w:val="00937876"/>
    <w:rsid w:val="0094057E"/>
    <w:rsid w:val="00941EDA"/>
    <w:rsid w:val="009448D2"/>
    <w:rsid w:val="009461D1"/>
    <w:rsid w:val="00946639"/>
    <w:rsid w:val="009513E1"/>
    <w:rsid w:val="00953309"/>
    <w:rsid w:val="009539C0"/>
    <w:rsid w:val="009600BE"/>
    <w:rsid w:val="00962977"/>
    <w:rsid w:val="00966318"/>
    <w:rsid w:val="009669C3"/>
    <w:rsid w:val="00970113"/>
    <w:rsid w:val="009762A4"/>
    <w:rsid w:val="00977753"/>
    <w:rsid w:val="00981877"/>
    <w:rsid w:val="00982714"/>
    <w:rsid w:val="0098608D"/>
    <w:rsid w:val="0098722A"/>
    <w:rsid w:val="009934C9"/>
    <w:rsid w:val="00993AEA"/>
    <w:rsid w:val="009943B0"/>
    <w:rsid w:val="0099519C"/>
    <w:rsid w:val="00997C39"/>
    <w:rsid w:val="009A077B"/>
    <w:rsid w:val="009A122A"/>
    <w:rsid w:val="009A2DB4"/>
    <w:rsid w:val="009A3B9A"/>
    <w:rsid w:val="009A419D"/>
    <w:rsid w:val="009A4FF2"/>
    <w:rsid w:val="009A6F3B"/>
    <w:rsid w:val="009B1893"/>
    <w:rsid w:val="009B65CB"/>
    <w:rsid w:val="009C6EFC"/>
    <w:rsid w:val="009D1785"/>
    <w:rsid w:val="009D2773"/>
    <w:rsid w:val="009D3285"/>
    <w:rsid w:val="009D4EC8"/>
    <w:rsid w:val="009E03F1"/>
    <w:rsid w:val="009E552E"/>
    <w:rsid w:val="009F0B6B"/>
    <w:rsid w:val="009F0E20"/>
    <w:rsid w:val="009F4D4F"/>
    <w:rsid w:val="009F5D07"/>
    <w:rsid w:val="009F6A61"/>
    <w:rsid w:val="009F7AA1"/>
    <w:rsid w:val="00A009BD"/>
    <w:rsid w:val="00A031FD"/>
    <w:rsid w:val="00A03540"/>
    <w:rsid w:val="00A06354"/>
    <w:rsid w:val="00A10E9B"/>
    <w:rsid w:val="00A11F57"/>
    <w:rsid w:val="00A12B30"/>
    <w:rsid w:val="00A13336"/>
    <w:rsid w:val="00A13646"/>
    <w:rsid w:val="00A17D61"/>
    <w:rsid w:val="00A26BDF"/>
    <w:rsid w:val="00A26ED9"/>
    <w:rsid w:val="00A26EF2"/>
    <w:rsid w:val="00A27835"/>
    <w:rsid w:val="00A33012"/>
    <w:rsid w:val="00A341C0"/>
    <w:rsid w:val="00A34B3A"/>
    <w:rsid w:val="00A37C36"/>
    <w:rsid w:val="00A44A62"/>
    <w:rsid w:val="00A467DC"/>
    <w:rsid w:val="00A467FF"/>
    <w:rsid w:val="00A46E6A"/>
    <w:rsid w:val="00A472C3"/>
    <w:rsid w:val="00A50094"/>
    <w:rsid w:val="00A50B64"/>
    <w:rsid w:val="00A518E8"/>
    <w:rsid w:val="00A534B0"/>
    <w:rsid w:val="00A54A85"/>
    <w:rsid w:val="00A5629A"/>
    <w:rsid w:val="00A574D7"/>
    <w:rsid w:val="00A576FD"/>
    <w:rsid w:val="00A64F9C"/>
    <w:rsid w:val="00A66EAF"/>
    <w:rsid w:val="00A6797B"/>
    <w:rsid w:val="00A679A7"/>
    <w:rsid w:val="00A67A71"/>
    <w:rsid w:val="00A700CA"/>
    <w:rsid w:val="00A75467"/>
    <w:rsid w:val="00A82790"/>
    <w:rsid w:val="00A84377"/>
    <w:rsid w:val="00A84D5F"/>
    <w:rsid w:val="00A856EC"/>
    <w:rsid w:val="00A865E9"/>
    <w:rsid w:val="00A93766"/>
    <w:rsid w:val="00A93E33"/>
    <w:rsid w:val="00A949B6"/>
    <w:rsid w:val="00A9553D"/>
    <w:rsid w:val="00AA0BE7"/>
    <w:rsid w:val="00AA36B3"/>
    <w:rsid w:val="00AA5825"/>
    <w:rsid w:val="00AB0360"/>
    <w:rsid w:val="00AB09D5"/>
    <w:rsid w:val="00AB3EF8"/>
    <w:rsid w:val="00AB579A"/>
    <w:rsid w:val="00AB6F4A"/>
    <w:rsid w:val="00AD7354"/>
    <w:rsid w:val="00AE4278"/>
    <w:rsid w:val="00AE4374"/>
    <w:rsid w:val="00AE5B32"/>
    <w:rsid w:val="00AE5D91"/>
    <w:rsid w:val="00AF0A15"/>
    <w:rsid w:val="00AF14E3"/>
    <w:rsid w:val="00AF3D44"/>
    <w:rsid w:val="00AF7D74"/>
    <w:rsid w:val="00B022C8"/>
    <w:rsid w:val="00B0411D"/>
    <w:rsid w:val="00B10B76"/>
    <w:rsid w:val="00B1170C"/>
    <w:rsid w:val="00B13A26"/>
    <w:rsid w:val="00B155AE"/>
    <w:rsid w:val="00B170D5"/>
    <w:rsid w:val="00B179F1"/>
    <w:rsid w:val="00B213E9"/>
    <w:rsid w:val="00B23EB1"/>
    <w:rsid w:val="00B30E6A"/>
    <w:rsid w:val="00B337E3"/>
    <w:rsid w:val="00B35555"/>
    <w:rsid w:val="00B365E3"/>
    <w:rsid w:val="00B3737A"/>
    <w:rsid w:val="00B37392"/>
    <w:rsid w:val="00B458D4"/>
    <w:rsid w:val="00B47D9B"/>
    <w:rsid w:val="00B51D37"/>
    <w:rsid w:val="00B6318F"/>
    <w:rsid w:val="00B64C0D"/>
    <w:rsid w:val="00B64C53"/>
    <w:rsid w:val="00B66A9C"/>
    <w:rsid w:val="00B801FE"/>
    <w:rsid w:val="00B82A19"/>
    <w:rsid w:val="00B83ABD"/>
    <w:rsid w:val="00B8655D"/>
    <w:rsid w:val="00B8709F"/>
    <w:rsid w:val="00B9312A"/>
    <w:rsid w:val="00B9373C"/>
    <w:rsid w:val="00BA1C9B"/>
    <w:rsid w:val="00BA7D4B"/>
    <w:rsid w:val="00BB1193"/>
    <w:rsid w:val="00BB1C26"/>
    <w:rsid w:val="00BB44FD"/>
    <w:rsid w:val="00BB507A"/>
    <w:rsid w:val="00BC5A7D"/>
    <w:rsid w:val="00BD004E"/>
    <w:rsid w:val="00BD2957"/>
    <w:rsid w:val="00BD36BE"/>
    <w:rsid w:val="00BD555D"/>
    <w:rsid w:val="00BD6957"/>
    <w:rsid w:val="00BE3624"/>
    <w:rsid w:val="00BE4037"/>
    <w:rsid w:val="00BF590B"/>
    <w:rsid w:val="00BF62AC"/>
    <w:rsid w:val="00C003A8"/>
    <w:rsid w:val="00C0262F"/>
    <w:rsid w:val="00C04578"/>
    <w:rsid w:val="00C047A7"/>
    <w:rsid w:val="00C068E7"/>
    <w:rsid w:val="00C115DA"/>
    <w:rsid w:val="00C21989"/>
    <w:rsid w:val="00C22D4E"/>
    <w:rsid w:val="00C24679"/>
    <w:rsid w:val="00C24944"/>
    <w:rsid w:val="00C25B6B"/>
    <w:rsid w:val="00C276A8"/>
    <w:rsid w:val="00C310C4"/>
    <w:rsid w:val="00C31590"/>
    <w:rsid w:val="00C32305"/>
    <w:rsid w:val="00C356C2"/>
    <w:rsid w:val="00C40BDA"/>
    <w:rsid w:val="00C4176F"/>
    <w:rsid w:val="00C45391"/>
    <w:rsid w:val="00C46372"/>
    <w:rsid w:val="00C46990"/>
    <w:rsid w:val="00C472FE"/>
    <w:rsid w:val="00C53ADC"/>
    <w:rsid w:val="00C605FE"/>
    <w:rsid w:val="00C61B12"/>
    <w:rsid w:val="00C66923"/>
    <w:rsid w:val="00C670B3"/>
    <w:rsid w:val="00C679B5"/>
    <w:rsid w:val="00C72E98"/>
    <w:rsid w:val="00C738EA"/>
    <w:rsid w:val="00C74186"/>
    <w:rsid w:val="00C74334"/>
    <w:rsid w:val="00C74692"/>
    <w:rsid w:val="00C77916"/>
    <w:rsid w:val="00C848B7"/>
    <w:rsid w:val="00C8597E"/>
    <w:rsid w:val="00C860D8"/>
    <w:rsid w:val="00C87C47"/>
    <w:rsid w:val="00C95D2B"/>
    <w:rsid w:val="00C96AF1"/>
    <w:rsid w:val="00CA07E1"/>
    <w:rsid w:val="00CA2AFC"/>
    <w:rsid w:val="00CA3046"/>
    <w:rsid w:val="00CA4B3D"/>
    <w:rsid w:val="00CA78AF"/>
    <w:rsid w:val="00CB38B8"/>
    <w:rsid w:val="00CB4014"/>
    <w:rsid w:val="00CB4DC4"/>
    <w:rsid w:val="00CB56EA"/>
    <w:rsid w:val="00CB7FD7"/>
    <w:rsid w:val="00CC31D0"/>
    <w:rsid w:val="00CC4D7F"/>
    <w:rsid w:val="00CC58BD"/>
    <w:rsid w:val="00CC59CC"/>
    <w:rsid w:val="00CD120D"/>
    <w:rsid w:val="00CD215F"/>
    <w:rsid w:val="00CD3CF6"/>
    <w:rsid w:val="00CD585A"/>
    <w:rsid w:val="00CE08BD"/>
    <w:rsid w:val="00CE7A62"/>
    <w:rsid w:val="00CF0A60"/>
    <w:rsid w:val="00CF2FA0"/>
    <w:rsid w:val="00CF3455"/>
    <w:rsid w:val="00CF5F3C"/>
    <w:rsid w:val="00CF66E9"/>
    <w:rsid w:val="00CF7FEE"/>
    <w:rsid w:val="00D001C9"/>
    <w:rsid w:val="00D018B8"/>
    <w:rsid w:val="00D061BE"/>
    <w:rsid w:val="00D113E0"/>
    <w:rsid w:val="00D11405"/>
    <w:rsid w:val="00D164E7"/>
    <w:rsid w:val="00D23215"/>
    <w:rsid w:val="00D23713"/>
    <w:rsid w:val="00D313DF"/>
    <w:rsid w:val="00D32ECA"/>
    <w:rsid w:val="00D333AD"/>
    <w:rsid w:val="00D352D5"/>
    <w:rsid w:val="00D35993"/>
    <w:rsid w:val="00D35C09"/>
    <w:rsid w:val="00D41F01"/>
    <w:rsid w:val="00D451D9"/>
    <w:rsid w:val="00D457C8"/>
    <w:rsid w:val="00D46388"/>
    <w:rsid w:val="00D464A1"/>
    <w:rsid w:val="00D464ED"/>
    <w:rsid w:val="00D502C2"/>
    <w:rsid w:val="00D51E92"/>
    <w:rsid w:val="00D54724"/>
    <w:rsid w:val="00D549CA"/>
    <w:rsid w:val="00D60BE4"/>
    <w:rsid w:val="00D63F14"/>
    <w:rsid w:val="00D649A4"/>
    <w:rsid w:val="00D64B8A"/>
    <w:rsid w:val="00D65C6D"/>
    <w:rsid w:val="00D65ECA"/>
    <w:rsid w:val="00D74288"/>
    <w:rsid w:val="00D753EB"/>
    <w:rsid w:val="00D810F2"/>
    <w:rsid w:val="00D82CDC"/>
    <w:rsid w:val="00D839AD"/>
    <w:rsid w:val="00D83AFC"/>
    <w:rsid w:val="00D84429"/>
    <w:rsid w:val="00D86AD6"/>
    <w:rsid w:val="00D91F2D"/>
    <w:rsid w:val="00D9769B"/>
    <w:rsid w:val="00D97CDB"/>
    <w:rsid w:val="00DA152F"/>
    <w:rsid w:val="00DA2BE5"/>
    <w:rsid w:val="00DA46D8"/>
    <w:rsid w:val="00DA6117"/>
    <w:rsid w:val="00DA70DE"/>
    <w:rsid w:val="00DB1D27"/>
    <w:rsid w:val="00DC2950"/>
    <w:rsid w:val="00DC6BD8"/>
    <w:rsid w:val="00DD4902"/>
    <w:rsid w:val="00DD580E"/>
    <w:rsid w:val="00DE46AD"/>
    <w:rsid w:val="00DE5AEC"/>
    <w:rsid w:val="00DF0D02"/>
    <w:rsid w:val="00DF2BD1"/>
    <w:rsid w:val="00DF51CE"/>
    <w:rsid w:val="00DF735E"/>
    <w:rsid w:val="00E00A23"/>
    <w:rsid w:val="00E0244B"/>
    <w:rsid w:val="00E07A62"/>
    <w:rsid w:val="00E11D2C"/>
    <w:rsid w:val="00E14568"/>
    <w:rsid w:val="00E16A88"/>
    <w:rsid w:val="00E1704B"/>
    <w:rsid w:val="00E2009E"/>
    <w:rsid w:val="00E20ADB"/>
    <w:rsid w:val="00E27361"/>
    <w:rsid w:val="00E367E3"/>
    <w:rsid w:val="00E36890"/>
    <w:rsid w:val="00E404F5"/>
    <w:rsid w:val="00E41F43"/>
    <w:rsid w:val="00E42662"/>
    <w:rsid w:val="00E474D6"/>
    <w:rsid w:val="00E56124"/>
    <w:rsid w:val="00E6394B"/>
    <w:rsid w:val="00E67C87"/>
    <w:rsid w:val="00E8264E"/>
    <w:rsid w:val="00E826AA"/>
    <w:rsid w:val="00E845ED"/>
    <w:rsid w:val="00E862BD"/>
    <w:rsid w:val="00E8717C"/>
    <w:rsid w:val="00E87B2D"/>
    <w:rsid w:val="00E87F1C"/>
    <w:rsid w:val="00E908F0"/>
    <w:rsid w:val="00E913DD"/>
    <w:rsid w:val="00E92EA3"/>
    <w:rsid w:val="00E973A4"/>
    <w:rsid w:val="00EA1B53"/>
    <w:rsid w:val="00EA2EA3"/>
    <w:rsid w:val="00EA4A6B"/>
    <w:rsid w:val="00EB585E"/>
    <w:rsid w:val="00EC0C23"/>
    <w:rsid w:val="00EC60C3"/>
    <w:rsid w:val="00EC6729"/>
    <w:rsid w:val="00ED0DB3"/>
    <w:rsid w:val="00ED208B"/>
    <w:rsid w:val="00ED5A0D"/>
    <w:rsid w:val="00ED6CA6"/>
    <w:rsid w:val="00EE03FE"/>
    <w:rsid w:val="00EE0D8E"/>
    <w:rsid w:val="00EE13A4"/>
    <w:rsid w:val="00EE2744"/>
    <w:rsid w:val="00EE4E49"/>
    <w:rsid w:val="00EF166F"/>
    <w:rsid w:val="00EF38F7"/>
    <w:rsid w:val="00EF5330"/>
    <w:rsid w:val="00EF5700"/>
    <w:rsid w:val="00EF5762"/>
    <w:rsid w:val="00F01580"/>
    <w:rsid w:val="00F02050"/>
    <w:rsid w:val="00F12EF3"/>
    <w:rsid w:val="00F13B4F"/>
    <w:rsid w:val="00F169D7"/>
    <w:rsid w:val="00F17F1D"/>
    <w:rsid w:val="00F22A51"/>
    <w:rsid w:val="00F2381D"/>
    <w:rsid w:val="00F238D9"/>
    <w:rsid w:val="00F30A5F"/>
    <w:rsid w:val="00F31E36"/>
    <w:rsid w:val="00F32033"/>
    <w:rsid w:val="00F32ECA"/>
    <w:rsid w:val="00F35617"/>
    <w:rsid w:val="00F37137"/>
    <w:rsid w:val="00F4170D"/>
    <w:rsid w:val="00F5069A"/>
    <w:rsid w:val="00F5413E"/>
    <w:rsid w:val="00F56C63"/>
    <w:rsid w:val="00F625A2"/>
    <w:rsid w:val="00F66C0D"/>
    <w:rsid w:val="00F708BE"/>
    <w:rsid w:val="00F73353"/>
    <w:rsid w:val="00F74712"/>
    <w:rsid w:val="00F75D04"/>
    <w:rsid w:val="00F7635C"/>
    <w:rsid w:val="00F8439A"/>
    <w:rsid w:val="00F91958"/>
    <w:rsid w:val="00F91A86"/>
    <w:rsid w:val="00F93624"/>
    <w:rsid w:val="00FA0502"/>
    <w:rsid w:val="00FA3DBB"/>
    <w:rsid w:val="00FA4836"/>
    <w:rsid w:val="00FA537B"/>
    <w:rsid w:val="00FB109D"/>
    <w:rsid w:val="00FB1C7C"/>
    <w:rsid w:val="00FB25AF"/>
    <w:rsid w:val="00FB30DA"/>
    <w:rsid w:val="00FB6F73"/>
    <w:rsid w:val="00FC2823"/>
    <w:rsid w:val="00FC538F"/>
    <w:rsid w:val="00FC60BC"/>
    <w:rsid w:val="00FC645A"/>
    <w:rsid w:val="00FC6E4B"/>
    <w:rsid w:val="00FC7635"/>
    <w:rsid w:val="00FD0C83"/>
    <w:rsid w:val="00FD1E71"/>
    <w:rsid w:val="00FD58B7"/>
    <w:rsid w:val="00FD6978"/>
    <w:rsid w:val="00FD7089"/>
    <w:rsid w:val="00FD792E"/>
    <w:rsid w:val="00FE10B8"/>
    <w:rsid w:val="00FE29ED"/>
    <w:rsid w:val="00FF00BA"/>
    <w:rsid w:val="00FF1ED9"/>
    <w:rsid w:val="00FF4EAC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39DDD"/>
  <w15:docId w15:val="{33D27B52-DDF6-471E-A017-069B60D4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1">
    <w:name w:val="Podnadpis1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D82CDC"/>
    <w:pPr>
      <w:tabs>
        <w:tab w:val="left" w:pos="851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94C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4C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4C76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4C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4C7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6B57F-D153-4449-B1ED-85081E0E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</Template>
  <TotalTime>1164</TotalTime>
  <Pages>14</Pages>
  <Words>2567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Kreuziger Pavel, Ing.</cp:lastModifiedBy>
  <cp:revision>62</cp:revision>
  <cp:lastPrinted>2022-02-01T14:34:00Z</cp:lastPrinted>
  <dcterms:created xsi:type="dcterms:W3CDTF">2015-11-24T06:15:00Z</dcterms:created>
  <dcterms:modified xsi:type="dcterms:W3CDTF">2022-02-01T14:35:00Z</dcterms:modified>
</cp:coreProperties>
</file>